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微软雅黑" w:hAnsi="微软雅黑" w:eastAsia="微软雅黑" w:cs="微软雅黑"/>
          <w:spacing w:val="-23"/>
          <w:sz w:val="32"/>
          <w:szCs w:val="32"/>
        </w:rPr>
      </w:pPr>
      <w:r>
        <w:rPr>
          <w:rFonts w:hint="eastAsia" w:ascii="微软雅黑" w:hAnsi="微软雅黑" w:eastAsia="微软雅黑" w:cs="微软雅黑"/>
          <w:spacing w:val="-23"/>
          <w:sz w:val="32"/>
          <w:szCs w:val="32"/>
        </w:rPr>
        <w:t>工商管理系党总</w:t>
      </w:r>
      <w:r>
        <w:rPr>
          <w:rFonts w:hint="eastAsia" w:ascii="微软雅黑" w:hAnsi="微软雅黑" w:eastAsia="微软雅黑" w:cs="微软雅黑"/>
          <w:spacing w:val="-23"/>
          <w:sz w:val="32"/>
          <w:szCs w:val="32"/>
          <w:lang w:val="en-US" w:eastAsia="zh-CN"/>
        </w:rPr>
        <w:t>2023年4</w:t>
      </w:r>
      <w:r>
        <w:rPr>
          <w:rFonts w:hint="eastAsia" w:ascii="微软雅黑" w:hAnsi="微软雅黑" w:eastAsia="微软雅黑" w:cs="微软雅黑"/>
          <w:spacing w:val="-23"/>
          <w:sz w:val="32"/>
          <w:szCs w:val="32"/>
        </w:rPr>
        <w:t>月份政治理论学习暨主题党日活动</w:t>
      </w:r>
    </w:p>
    <w:tbl>
      <w:tblPr>
        <w:tblStyle w:val="1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86"/>
        <w:gridCol w:w="1457"/>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2686" w:type="dxa"/>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4</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日</w:t>
            </w:r>
          </w:p>
        </w:tc>
        <w:tc>
          <w:tcPr>
            <w:tcW w:w="145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地点</w:t>
            </w:r>
          </w:p>
        </w:tc>
        <w:tc>
          <w:tcPr>
            <w:tcW w:w="3049" w:type="dxa"/>
            <w:vAlign w:val="center"/>
          </w:tcPr>
          <w:p>
            <w:pPr>
              <w:spacing w:line="3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工商南301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活动主题</w:t>
            </w:r>
          </w:p>
        </w:tc>
        <w:tc>
          <w:tcPr>
            <w:tcW w:w="7192" w:type="dxa"/>
            <w:gridSpan w:val="3"/>
            <w:vAlign w:val="center"/>
          </w:tcPr>
          <w:p>
            <w:pPr>
              <w:spacing w:line="360" w:lineRule="exact"/>
              <w:jc w:val="center"/>
              <w:outlineLvl w:val="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w:t>
            </w:r>
            <w:r>
              <w:rPr>
                <w:rFonts w:ascii="仿宋" w:hAnsi="仿宋" w:eastAsia="仿宋" w:cs="仿宋"/>
                <w:b/>
                <w:bCs/>
                <w:sz w:val="28"/>
                <w:szCs w:val="28"/>
              </w:rPr>
              <w:t>月份政治理论学习</w:t>
            </w:r>
            <w:r>
              <w:rPr>
                <w:rFonts w:hint="eastAsia" w:ascii="仿宋" w:hAnsi="仿宋" w:eastAsia="仿宋" w:cs="仿宋"/>
                <w:b/>
                <w:bCs/>
                <w:sz w:val="28"/>
                <w:szCs w:val="28"/>
                <w:lang w:val="en-US" w:eastAsia="zh-CN"/>
              </w:rPr>
              <w:t>和组织生活会会前学习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366" w:type="dxa"/>
            <w:vAlign w:val="center"/>
          </w:tcPr>
          <w:p>
            <w:pPr>
              <w:jc w:val="center"/>
            </w:pPr>
            <w:r>
              <w:rPr>
                <w:rFonts w:hint="eastAsia" w:ascii="仿宋" w:hAnsi="仿宋" w:eastAsia="仿宋" w:cs="仿宋"/>
                <w:b/>
                <w:bCs/>
                <w:sz w:val="28"/>
                <w:szCs w:val="28"/>
              </w:rPr>
              <w:t>参加对象</w:t>
            </w:r>
          </w:p>
        </w:tc>
        <w:tc>
          <w:tcPr>
            <w:tcW w:w="7192" w:type="dxa"/>
            <w:gridSpan w:val="3"/>
            <w:vAlign w:val="center"/>
          </w:tcPr>
          <w:p>
            <w:pPr>
              <w:jc w:val="center"/>
            </w:pPr>
            <w:r>
              <w:rPr>
                <w:rFonts w:hint="eastAsia" w:ascii="仿宋" w:hAnsi="仿宋" w:eastAsia="仿宋" w:cs="仿宋"/>
                <w:b/>
                <w:bCs/>
                <w:sz w:val="28"/>
                <w:szCs w:val="28"/>
              </w:rPr>
              <w:t>第一支部、第二支部全体党员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558" w:type="dxa"/>
            <w:gridSpan w:val="4"/>
          </w:tcPr>
          <w:p>
            <w:pPr>
              <w:pStyle w:val="14"/>
              <w:keepNext w:val="0"/>
              <w:keepLines w:val="0"/>
              <w:widowControl/>
              <w:suppressLineNumbers w:val="0"/>
              <w:spacing w:before="0" w:beforeAutospacing="0" w:after="0" w:afterAutospacing="0"/>
              <w:ind w:left="0" w:right="0" w:firstLine="0"/>
              <w:rPr>
                <w:rFonts w:hint="eastAsia"/>
                <w:sz w:val="28"/>
                <w:szCs w:val="28"/>
                <w:highlight w:val="none"/>
              </w:rPr>
            </w:pPr>
            <w:r>
              <w:rPr>
                <w:rFonts w:hint="eastAsia"/>
                <w:sz w:val="28"/>
                <w:szCs w:val="28"/>
                <w:highlight w:val="none"/>
              </w:rPr>
              <w:t>活动内容：</w:t>
            </w:r>
            <w:r>
              <w:rPr>
                <w:rFonts w:hint="eastAsia"/>
                <w:sz w:val="28"/>
                <w:szCs w:val="28"/>
                <w:highlight w:val="yellow"/>
                <w:lang w:val="en-US" w:eastAsia="zh-CN"/>
              </w:rPr>
              <w:t>（黄智萌领学）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（一）常规学习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.中共二十届二中全会在京举行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中央政治局主持全会 中央委员会总书记习近平作重要讲话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 人民日报 》（ 2023年0</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月0</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《求是》杂志发表习近平总书记重要文章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新时代党和人民奋进的必由之路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 人民日报 》（ 2023年</w:t>
            </w:r>
            <w:r>
              <w:rPr>
                <w:rFonts w:hint="eastAsia" w:ascii="仿宋" w:hAnsi="仿宋" w:eastAsia="仿宋" w:cs="仿宋"/>
                <w:color w:val="auto"/>
                <w:sz w:val="32"/>
                <w:szCs w:val="32"/>
                <w:u w:val="none"/>
                <w:lang w:val="en-US" w:eastAsia="zh-CN"/>
              </w:rPr>
              <w:t>03</w:t>
            </w:r>
            <w:r>
              <w:rPr>
                <w:rFonts w:hint="eastAsia" w:ascii="仿宋" w:hAnsi="仿宋" w:eastAsia="仿宋" w:cs="仿宋"/>
                <w:color w:val="auto"/>
                <w:sz w:val="32"/>
                <w:szCs w:val="32"/>
                <w:u w:val="none"/>
              </w:rPr>
              <w:t>月0</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习近平在中央党校建校九十周年庆祝大会暨二〇二三年春季学期开学典礼上发表重要讲话强调坚守党校初心 努力为党育才为党献策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 人民日报 》（ 2023年0</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月0</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4.十四届全国人大一次会议在京闭幕  习近平发表重要讲话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w:t>
            </w:r>
            <w:r>
              <w:rPr>
                <w:rFonts w:hint="eastAsia" w:ascii="仿宋" w:hAnsi="仿宋" w:eastAsia="仿宋" w:cs="仿宋"/>
                <w:color w:val="auto"/>
                <w:sz w:val="32"/>
                <w:szCs w:val="32"/>
                <w:u w:val="none"/>
                <w:lang w:val="en-US" w:eastAsia="zh-CN"/>
              </w:rPr>
              <w:t>《 人民日报 》（ 2023年03月14日   第 01 版）</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5.2023年政府工作报告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w:t>
            </w:r>
            <w:r>
              <w:rPr>
                <w:rFonts w:hint="eastAsia" w:ascii="仿宋" w:hAnsi="仿宋" w:eastAsia="仿宋" w:cs="仿宋"/>
                <w:color w:val="auto"/>
                <w:sz w:val="32"/>
                <w:szCs w:val="32"/>
                <w:u w:val="none"/>
                <w:lang w:val="en-US" w:eastAsia="zh-CN"/>
              </w:rPr>
              <w:t>《 人民日报 》（ 2023年03月15日   第 01 版）</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6.中办印发《关于在全党大兴调查研究的工作方案》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w:t>
            </w:r>
            <w:r>
              <w:rPr>
                <w:rFonts w:hint="eastAsia" w:ascii="仿宋" w:hAnsi="仿宋" w:eastAsia="仿宋" w:cs="仿宋"/>
                <w:color w:val="auto"/>
                <w:sz w:val="32"/>
                <w:szCs w:val="32"/>
                <w:u w:val="none"/>
                <w:lang w:val="en-US" w:eastAsia="zh-CN"/>
              </w:rPr>
              <w:t>《 人民日报 》（ 2023年03月20日   第 01 版）</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u w:val="none"/>
                <w:lang w:val="en-US" w:eastAsia="zh-CN"/>
              </w:rPr>
            </w:pPr>
            <w:bookmarkStart w:id="0" w:name="_GoBack"/>
            <w:bookmarkEnd w:id="0"/>
            <w:r>
              <w:rPr>
                <w:rFonts w:hint="eastAsia" w:ascii="仿宋" w:hAnsi="仿宋" w:eastAsia="仿宋" w:cs="仿宋"/>
                <w:b/>
                <w:bCs/>
                <w:color w:val="auto"/>
                <w:sz w:val="32"/>
                <w:szCs w:val="32"/>
                <w:u w:val="none"/>
                <w:lang w:val="en-US" w:eastAsia="zh-CN"/>
              </w:rPr>
              <w:t>（二）专题研讨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围绕深入学习和领会全国两会精神，结合落实省委“深学争优、敢为争先、实干争效”行动要求和工作实际，</w:t>
            </w:r>
            <w:r>
              <w:rPr>
                <w:rFonts w:hint="default" w:ascii="仿宋" w:hAnsi="仿宋" w:eastAsia="仿宋" w:cs="仿宋"/>
                <w:color w:val="auto"/>
                <w:sz w:val="32"/>
                <w:szCs w:val="32"/>
                <w:u w:val="none"/>
                <w:lang w:val="en-US" w:eastAsia="zh-CN"/>
              </w:rPr>
              <w:t>谈谈如何履职尽责做好本职工作</w:t>
            </w:r>
            <w:r>
              <w:rPr>
                <w:rFonts w:hint="eastAsia" w:ascii="仿宋" w:hAnsi="仿宋" w:eastAsia="仿宋" w:cs="仿宋"/>
                <w:color w:val="auto"/>
                <w:sz w:val="32"/>
                <w:szCs w:val="32"/>
                <w:u w:val="none"/>
                <w:lang w:val="en-US" w:eastAsia="zh-CN"/>
              </w:rPr>
              <w:t>，为福建篇章莆田答卷做出自己的应有贡献。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kern w:val="2"/>
                <w:sz w:val="32"/>
                <w:szCs w:val="32"/>
                <w:u w:val="none"/>
                <w:lang w:val="en-US" w:eastAsia="zh-CN" w:bidi="ar-SA"/>
              </w:rPr>
            </w:pPr>
            <w:r>
              <w:rPr>
                <w:rFonts w:hint="eastAsia" w:ascii="仿宋" w:hAnsi="仿宋" w:eastAsia="仿宋" w:cs="仿宋"/>
                <w:b/>
                <w:bCs/>
                <w:color w:val="auto"/>
                <w:kern w:val="2"/>
                <w:sz w:val="32"/>
                <w:szCs w:val="32"/>
                <w:u w:val="none"/>
                <w:lang w:val="en-US" w:eastAsia="zh-CN" w:bidi="ar-SA"/>
              </w:rPr>
              <w:t>（三）自学篇目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kern w:val="2"/>
                <w:sz w:val="32"/>
                <w:szCs w:val="32"/>
                <w:u w:val="none"/>
                <w:lang w:val="en-US" w:eastAsia="zh-CN" w:bidi="ar-SA"/>
              </w:rPr>
              <w:t>7.</w:t>
            </w:r>
            <w:r>
              <w:rPr>
                <w:rFonts w:hint="eastAsia" w:ascii="仿宋" w:hAnsi="仿宋" w:eastAsia="仿宋" w:cs="仿宋"/>
                <w:color w:val="auto"/>
                <w:sz w:val="32"/>
                <w:szCs w:val="32"/>
                <w:u w:val="none"/>
              </w:rPr>
              <w:t>中共中央印发《中国共产党处分违纪党员批准权限和程序规定》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 人民日报 》（ 2023年01月18日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rPr>
              <w:t>.中共中央国务院印发《质量强国建设纲要》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 人民日报 》（ 2023年02月07日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9</w:t>
            </w:r>
            <w:r>
              <w:rPr>
                <w:rFonts w:hint="eastAsia" w:ascii="仿宋" w:hAnsi="仿宋" w:eastAsia="仿宋" w:cs="仿宋"/>
                <w:color w:val="auto"/>
                <w:sz w:val="32"/>
                <w:szCs w:val="32"/>
                <w:u w:val="none"/>
              </w:rPr>
              <w:t>.中办国办印发《关于进一步加强财会监督工作的意见》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 人民日报 》（ 2023年02月16日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10.中共中央国务院印发《数字中国建设整体布局规划》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w:t>
            </w:r>
            <w:r>
              <w:rPr>
                <w:rFonts w:hint="eastAsia" w:ascii="仿宋" w:hAnsi="仿宋" w:eastAsia="仿宋" w:cs="仿宋"/>
                <w:color w:val="auto"/>
                <w:sz w:val="32"/>
                <w:szCs w:val="32"/>
                <w:u w:val="none"/>
                <w:lang w:val="en-US" w:eastAsia="zh-CN"/>
              </w:rPr>
              <w:t>《 人民日报 》（ 2023年02月28日   第 01 版）</w:t>
            </w:r>
            <w:r>
              <w:rPr>
                <w:rFonts w:hint="eastAsia" w:ascii="仿宋" w:hAnsi="仿宋" w:eastAsia="仿宋" w:cs="仿宋"/>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11.中共中央国务院印发《党和国家机构改革方案》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【来源：</w:t>
            </w:r>
            <w:r>
              <w:rPr>
                <w:rFonts w:hint="eastAsia" w:ascii="仿宋" w:hAnsi="仿宋" w:eastAsia="仿宋" w:cs="仿宋"/>
                <w:color w:val="auto"/>
                <w:sz w:val="32"/>
                <w:szCs w:val="32"/>
                <w:u w:val="none"/>
                <w:lang w:val="en-US" w:eastAsia="zh-CN"/>
              </w:rPr>
              <w:t>《 人民日报 》（ 2023年02月28日   第 01 版）</w:t>
            </w:r>
            <w:r>
              <w:rPr>
                <w:rFonts w:hint="eastAsia" w:ascii="仿宋" w:hAnsi="仿宋" w:eastAsia="仿宋" w:cs="仿宋"/>
                <w:color w:val="auto"/>
                <w:sz w:val="32"/>
                <w:szCs w:val="32"/>
                <w:u w:val="none"/>
              </w:rPr>
              <w:t>】</w:t>
            </w:r>
          </w:p>
          <w:p>
            <w:pPr>
              <w:pStyle w:val="14"/>
              <w:keepNext w:val="0"/>
              <w:keepLines w:val="0"/>
              <w:widowControl/>
              <w:suppressLineNumbers w:val="0"/>
              <w:spacing w:before="0" w:beforeAutospacing="0" w:after="0" w:afterAutospacing="0"/>
              <w:ind w:left="0" w:right="0" w:firstLine="0"/>
              <w:rPr>
                <w:rFonts w:hint="default" w:ascii="仿宋" w:hAnsi="仿宋" w:eastAsia="仿宋" w:cs="仿宋"/>
                <w:color w:val="auto"/>
                <w:sz w:val="30"/>
                <w:szCs w:val="30"/>
                <w:u w:val="none"/>
                <w:lang w:val="en-US" w:eastAsia="zh-CN"/>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r>
        <w:rPr>
          <w:rFonts w:hint="eastAsia" w:ascii="仿宋" w:hAnsi="仿宋" w:eastAsia="仿宋" w:cs="仿宋"/>
          <w:b/>
          <w:bCs/>
          <w:i w:val="0"/>
          <w:iCs w:val="0"/>
          <w:color w:val="333333"/>
          <w:sz w:val="32"/>
          <w:szCs w:val="32"/>
          <w:lang w:val="en-US" w:eastAsia="zh-CN"/>
        </w:rPr>
        <w:t>学习内容：</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rPr>
          <w:rFonts w:hint="eastAsia" w:ascii="Times New Roman" w:hAnsi="Times New Roman" w:eastAsia="方正小标宋简体" w:cs="宋体"/>
          <w:b w:val="0"/>
          <w:bCs w:val="0"/>
          <w:color w:val="auto"/>
          <w:kern w:val="44"/>
          <w:sz w:val="32"/>
          <w:szCs w:val="32"/>
          <w:highlight w:val="none"/>
          <w:u w:val="none"/>
          <w:lang w:val="en-US" w:eastAsia="zh-CN" w:bidi="ar"/>
        </w:rPr>
      </w:pPr>
      <w:r>
        <w:rPr>
          <w:rFonts w:hint="eastAsia" w:ascii="Times New Roman" w:hAnsi="Times New Roman" w:eastAsia="方正小标宋简体" w:cs="宋体"/>
          <w:b w:val="0"/>
          <w:bCs w:val="0"/>
          <w:color w:val="auto"/>
          <w:kern w:val="44"/>
          <w:sz w:val="32"/>
          <w:szCs w:val="32"/>
          <w:highlight w:val="none"/>
          <w:u w:val="none"/>
          <w:lang w:val="en-US" w:eastAsia="zh-CN" w:bidi="ar"/>
        </w:rPr>
        <w:t>1.中共二十届二中全会在京举行 中央政治局主持全会 中央委员会总书记习近平作重要讲话</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rPr>
          <w:rFonts w:hint="eastAsia" w:ascii="仿宋" w:hAnsi="仿宋" w:eastAsia="仿宋" w:cs="仿宋"/>
          <w:i w:val="0"/>
          <w:iCs w:val="0"/>
          <w:color w:val="auto"/>
          <w:sz w:val="32"/>
          <w:szCs w:val="32"/>
          <w:u w:val="none"/>
        </w:rPr>
      </w:pP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jc w:val="center"/>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《人民日报》（ 2023年0</w:t>
      </w:r>
      <w:r>
        <w:rPr>
          <w:rFonts w:hint="eastAsia" w:ascii="仿宋" w:hAnsi="仿宋" w:eastAsia="仿宋" w:cs="仿宋"/>
          <w:i w:val="0"/>
          <w:iCs w:val="0"/>
          <w:color w:val="auto"/>
          <w:sz w:val="32"/>
          <w:szCs w:val="32"/>
          <w:u w:val="none"/>
          <w:lang w:val="en-US" w:eastAsia="zh-CN"/>
        </w:rPr>
        <w:t>3</w:t>
      </w:r>
      <w:r>
        <w:rPr>
          <w:rFonts w:hint="eastAsia" w:ascii="仿宋" w:hAnsi="仿宋" w:eastAsia="仿宋" w:cs="仿宋"/>
          <w:i w:val="0"/>
          <w:iCs w:val="0"/>
          <w:color w:val="auto"/>
          <w:sz w:val="32"/>
          <w:szCs w:val="32"/>
          <w:u w:val="none"/>
        </w:rPr>
        <w:t>月0</w:t>
      </w:r>
      <w:r>
        <w:rPr>
          <w:rFonts w:hint="eastAsia" w:ascii="仿宋" w:hAnsi="仿宋" w:eastAsia="仿宋" w:cs="仿宋"/>
          <w:i w:val="0"/>
          <w:iCs w:val="0"/>
          <w:color w:val="auto"/>
          <w:sz w:val="32"/>
          <w:szCs w:val="32"/>
          <w:u w:val="none"/>
          <w:lang w:val="en-US" w:eastAsia="zh-CN"/>
        </w:rPr>
        <w:t>1</w:t>
      </w:r>
      <w:r>
        <w:rPr>
          <w:rFonts w:hint="eastAsia" w:ascii="仿宋" w:hAnsi="仿宋" w:eastAsia="仿宋" w:cs="仿宋"/>
          <w:i w:val="0"/>
          <w:iCs w:val="0"/>
          <w:color w:val="auto"/>
          <w:sz w:val="32"/>
          <w:szCs w:val="32"/>
          <w:u w:val="none"/>
        </w:rPr>
        <w:t>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中国共产党第二十届中央委员会第二次全体会议公报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（2023年2月28日中国共产党第二十届中央委员会第二次全体会议通过）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中国共产党第二十届中央委员会第二次全体会议，于2023年2月26日至28日在北京举行。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出席这次全会的有中央委员203人，候补中央委员170人。中央纪律检查委员会副书记和有关部门负责同志列席会议。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全会由中央政治局主持。中央委员会总书记习近平作了重要讲话。</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听取和讨论了习近平受中央政治局委托作的工作报告，审议通过了中央政治局在广泛征求党内外意见、反复酝酿协商的基础上提出的拟向十四届全国人大一次会议推荐的国家机构领导人员人选建议名单和拟向全国政协十四届一次会议推荐的全国政协领导人员人选建议名单，决定将这两个建议名单分别向十四届全国人大一次会议主席团和全国政协十四届一次会议主席团推荐。审议通过了在广泛征求意见的基础上提出的《党和国家机构改革方案》。习近平就《党和国家机构改革方案（草案）》向全会作了说明。全会同意把《党和国家机构改革方案》的部分内容按照法定程序提交十四届全国人大一次会议审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充分肯定党的二十届一中全会以来中央政治局的工作。一致认为，面对严峻复杂的国际环境和艰巨繁重的国内改革发展稳定任务，中央政治局全面贯彻党的二十大和二十届一中全会精神，高举中国特色社会主义伟大旗帜，全面贯彻习近平新时代中国特色社会主义思想，坚持稳中求进工作总基调，更好统筹国内国际两个大局，更好统筹疫情防控和经济社会发展，更好统筹发展和安全，兴起学习宣传贯彻党的二十大精神热潮，隆重悼念江泽民同志，做好全国人大、全国政协换届准备工作，动态优化调整新冠疫情防控措施，着力推动经济稳步回升、促进高质量发展，扎实推进社会主义民主法治建设和宣传思想文化工作，切实保障和改善民生，坚决维护国家安全和社会稳定，开启中国特色大国外交新征程，进一步深化全面从严治党，各项工作迈出新的步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全会强调，开好十四届全国人大一次会议和全国政协十四届一次会议，对进一步动员全党全国各族人民为全面建设社会主义现代化国家、全面推进中华民族伟大复兴而团结奋斗，具有重大意义。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认为，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指出，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强调，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不折不扣把机构改革任务落到实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认为，深入学习宣传贯彻党的二十大精神，是当前和今后一个时期全党的首要政治任务，要推动学习宣传贯彻往深里走、往实里走。要丰富载体、创新手段，以人民群众喜闻乐见的形式推动党的二十大精神进机关、进企事业单位、进城乡社区、进校园、进军营、进各类新经济组织和新社会组织、进网站，使党的二十大精神真正深入人心。领导干部要继续在全面学习、全面把握、全面落实上作表率，深刻认识新时代十年伟大变革的重大意义，熟练掌握习近平新时代中国特色社会主义思想的世界观、方法论和贯穿其中的立场观点方法，整体把握新时代新征程党和国家事业发展的目标任务、战略部署、重大举措，紧密结合本地区本部门具体实际制定好、实施好贯彻落实的具体方案、具体举措，切实把党的二十大精神落实到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强调，当前，世界百年未有之大变局加速演进，世界进入新的动荡变革期，我国发展进入战略机遇和风险挑战并存、不确定难预料因素增多的时期，必须准备经受风高浪急甚至惊涛骇浪的重大考验。我国改革发展稳定依然面临不少深层次矛盾，需求收缩、供给冲击、预期转弱三重压力仍然较大，经济恢复的基础尚不牢固，各种超预期因素随时可能发生。全党同志必须坚定信心，保持战略清醒，发扬斗争精神，做到“三个更好统筹”，努力实现今年各项目标任务。要完整、准确、全面贯彻新发展理念，加快构建新发展格局，着力推动高质量发展。要认真贯彻执行党中央关于新阶段疫情防控的决策部署，落实好“乙类乙管”各项措施。要努力扩大内需，切实提升产业链供应链韧性和安全水平，进一步优化市场化法治化国际化营商环境，有效防范化解重大经济金融风险，守住不发生系统性风险的底线。要着力加强保障和改善民生各项工作，落实落细就业优先政策，保障好困难群众的基本生活，扎牢社会保障网，补齐医疗卫生特别是城乡基层医疗卫生公共服务的短板，完善生育支持政策体系。全面推进乡村振兴，巩固拓展脱贫攻坚成果，防止发生规模性返贫。</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指出，要坚定不移深化改革开放，紧紧围绕全面建设社会主义现代化国家的目标，推出一批战略性、创造性、引领性改革举措，加强改革系统集成、协同高效，在重要领域和关键环节取得新突破。要坚持和完善社会主义基本经济制度，完善中国特色现代企业制度，加强和完善现代金融监管，推动高水平对外开放，统筹谋划好各领域的改革。注重完善改革落实机制，推动改革举措落地见效，不断增强社会主义现代化建设的动力和活力，把我国制度优势更好转化为国家治理效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强调，要深入贯彻落实党的二十大对党的建设作出的战略部署，时刻保持解决大党独有难题的清醒和坚定，健全全面从严治党体系，以党的政治建设为统领，扎实推进党的各方面建设，推动新时代党的建设新的伟大工程向纵深发展。在全党深入开展学习贯彻习近平新时代中国特色社会主义思想主题教育，要科学谋划、精心组织，强化理论学习和运用，取得实实在在的成效。要抓好换届后的领导班子思想政治建设，严格执行民主集中制，营造风清气正的政治生态，形成团结协作、敢于担当、善作善成的生动局面。要坚持以严的基调强化正风肃纪，持续深化纠治“四风”，大兴调查研究之风，大力弘扬求真务实、真抓实干的作风，真正做出经得起历史和人民检验的实绩。要一体推进不敢腐、不能腐、不想腐，坚决打赢反腐败斗争攻坚战持久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rPr>
      </w:pPr>
      <w:r>
        <w:rPr>
          <w:rFonts w:hint="eastAsia" w:ascii="仿宋" w:hAnsi="仿宋" w:eastAsia="仿宋" w:cs="仿宋"/>
          <w:i w:val="0"/>
          <w:iCs w:val="0"/>
          <w:color w:val="auto"/>
          <w:sz w:val="32"/>
          <w:szCs w:val="32"/>
          <w:u w:val="none"/>
        </w:rPr>
        <w:t>　　全会号召，全党全国各族人民更加紧密地团结在以习近平同志为核心的党中央周围，高举中国特色社会主义伟大旗帜，弘扬伟大建党精神，牢记“三个务必”，自信自强、守正创新，锐意进取、顽强拼搏，扎实推进中国式现代化建设，为实现党的二十大确定的目标任务而共同奋斗。</w:t>
      </w: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rPr>
          <w:rFonts w:hint="eastAsia" w:ascii="Times New Roman" w:hAnsi="Times New Roman" w:eastAsia="方正小标宋简体" w:cs="宋体"/>
          <w:b w:val="0"/>
          <w:bCs w:val="0"/>
          <w:color w:val="auto"/>
          <w:kern w:val="44"/>
          <w:sz w:val="32"/>
          <w:szCs w:val="32"/>
          <w:highlight w:val="none"/>
          <w:u w:val="none"/>
          <w:lang w:val="en-US" w:eastAsia="zh-CN" w:bidi="ar"/>
        </w:rPr>
      </w:pPr>
      <w:r>
        <w:rPr>
          <w:rFonts w:hint="eastAsia" w:ascii="Times New Roman" w:hAnsi="Times New Roman" w:eastAsia="方正小标宋简体" w:cs="宋体"/>
          <w:b w:val="0"/>
          <w:bCs w:val="0"/>
          <w:color w:val="auto"/>
          <w:kern w:val="44"/>
          <w:sz w:val="32"/>
          <w:szCs w:val="32"/>
          <w:highlight w:val="none"/>
          <w:u w:val="none"/>
          <w:lang w:val="en-US" w:eastAsia="zh-CN" w:bidi="ar"/>
        </w:rPr>
        <w:t>2.《求是》杂志发表习近平总书记重要文章</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rPr>
          <w:rFonts w:hint="eastAsia" w:ascii="Times New Roman" w:hAnsi="Times New Roman" w:eastAsia="方正小标宋简体" w:cs="宋体"/>
          <w:b w:val="0"/>
          <w:bCs w:val="0"/>
          <w:color w:val="auto"/>
          <w:kern w:val="44"/>
          <w:sz w:val="32"/>
          <w:szCs w:val="32"/>
          <w:highlight w:val="none"/>
          <w:u w:val="none"/>
          <w:lang w:val="en-US" w:eastAsia="zh-CN" w:bidi="ar"/>
        </w:rPr>
      </w:pPr>
      <w:r>
        <w:rPr>
          <w:rFonts w:hint="eastAsia" w:ascii="Times New Roman" w:hAnsi="Times New Roman" w:eastAsia="方正小标宋简体" w:cs="宋体"/>
          <w:b w:val="0"/>
          <w:bCs w:val="0"/>
          <w:color w:val="auto"/>
          <w:kern w:val="44"/>
          <w:sz w:val="32"/>
          <w:szCs w:val="32"/>
          <w:highlight w:val="none"/>
          <w:u w:val="none"/>
          <w:lang w:val="en-US" w:eastAsia="zh-CN" w:bidi="ar"/>
        </w:rPr>
        <w:t>新时代党和人民奋进的必由之路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i w:val="0"/>
          <w:iCs w:val="0"/>
          <w:color w:val="auto"/>
          <w:sz w:val="32"/>
          <w:szCs w:val="32"/>
          <w:u w:val="no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 人民日报 》（ 2023年03月01日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rPr>
          <w:rFonts w:hint="eastAsia" w:ascii="仿宋" w:hAnsi="仿宋" w:eastAsia="仿宋" w:cs="仿宋"/>
          <w:i w:val="0"/>
          <w:iCs w:val="0"/>
          <w:color w:val="auto"/>
          <w:sz w:val="32"/>
          <w:szCs w:val="32"/>
          <w:u w:val="no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　　新华社北京2月28日电  3月1日出版的第5期《求是》杂志将发表中共中央总书记、国家主席、中央军委主席习近平的重要文章《新时代党和人民奋进的必由之路》。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　　文章指出，坚持党的全面领导是坚持和发展中国特色社会主义的必由之路。只要坚定不移坚持党的全面领导、维护党中央权威和集中统一领导，我们就一定能够确保全党全国拥有团结奋斗的强大政治凝聚力、发展自信心，集聚起守正创新、共克时艰的强大力量，形成风雨来袭时全体人民最可靠的主心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　　文章指出，中国特色社会主义是实现中华民族伟大复兴的必由之路。只要始终不渝走中国特色社会主义道路，我们就一定能够不断实现人民对美好生活的向往，不断推进全体人民共同富裕。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　　文章指出，团结奋斗是中国人民创造历史伟业的必由之路。只要在党的领导下全国各族人民团结一心、众志成城，敢于斗争、善于斗争，我们就一定能够战胜前进道路上的一切困难挑战，继续创造令人刮目相看的新的奇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　　文章指出，贯彻新发展理念是新时代我国发展壮大的必由之路。只要完整、准确、全面贯彻新发展理念，加快构建新发展格局，推动高质量发展，加快实现科技自立自强，我们就一定能够不断提高我国发展的竞争力和持续力，在日趋激烈的国际竞争中把握主动、赢得未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　　文章指出，全面从严治党是党永葆生机活力、走好新的赶考之路的必由之路。办好中国的事情，关键在党、关键在全面从严治党。只要大力弘扬伟大建党精神，不忘初心使命，勇于自我革命，不断清除一切损害党的先进性和纯洁性的有害因素，不断清除一切侵蚀党的健康肌体的病原体，我们就一定能够确保党不变质、不变色、不变味。</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 w:hAnsi="仿宋" w:eastAsia="仿宋" w:cs="仿宋"/>
          <w:color w:val="auto"/>
          <w:sz w:val="32"/>
          <w:szCs w:val="32"/>
          <w:u w:val="none"/>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宋体"/>
          <w:color w:val="auto"/>
          <w:kern w:val="44"/>
          <w:sz w:val="32"/>
          <w:szCs w:val="32"/>
          <w:highlight w:val="none"/>
          <w:u w:val="none"/>
          <w:lang w:val="en-US" w:eastAsia="zh-CN" w:bidi="ar"/>
        </w:rPr>
      </w:pPr>
      <w:r>
        <w:rPr>
          <w:rFonts w:hint="eastAsia" w:ascii="Times New Roman" w:hAnsi="Times New Roman" w:eastAsia="方正小标宋简体" w:cs="宋体"/>
          <w:color w:val="auto"/>
          <w:kern w:val="44"/>
          <w:sz w:val="32"/>
          <w:szCs w:val="32"/>
          <w:highlight w:val="none"/>
          <w:u w:val="none"/>
          <w:lang w:val="en-US" w:eastAsia="zh-CN" w:bidi="ar"/>
        </w:rPr>
        <w:t>3.习近平在中央党校建校九十周年庆祝大会暨二〇二三年春季学期开学典礼上发表重要讲话强调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宋体"/>
          <w:color w:val="auto"/>
          <w:kern w:val="44"/>
          <w:sz w:val="32"/>
          <w:szCs w:val="32"/>
          <w:highlight w:val="none"/>
          <w:u w:val="none"/>
          <w:lang w:val="en-US" w:eastAsia="zh-CN" w:bidi="ar"/>
        </w:rPr>
      </w:pPr>
      <w:r>
        <w:rPr>
          <w:rFonts w:hint="eastAsia" w:ascii="Times New Roman" w:hAnsi="Times New Roman" w:eastAsia="方正小标宋简体" w:cs="宋体"/>
          <w:color w:val="auto"/>
          <w:kern w:val="44"/>
          <w:sz w:val="32"/>
          <w:szCs w:val="32"/>
          <w:highlight w:val="none"/>
          <w:u w:val="none"/>
          <w:lang w:val="en-US" w:eastAsia="zh-CN" w:bidi="ar"/>
        </w:rPr>
        <w:t>坚守党校初心 努力为党育才为党献策</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人民日报 》（ 2023年0</w:t>
      </w: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月0</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日   第 01 版）</w:t>
      </w:r>
    </w:p>
    <w:p>
      <w:pPr>
        <w:pStyle w:val="2"/>
        <w:keepNext w:val="0"/>
        <w:keepLines w:val="0"/>
        <w:pageBreakBefore w:val="0"/>
        <w:kinsoku/>
        <w:wordWrap/>
        <w:overflowPunct/>
        <w:topLinePunct w:val="0"/>
        <w:autoSpaceDE/>
        <w:autoSpaceDN/>
        <w:bidi w:val="0"/>
        <w:spacing w:after="0" w:line="560" w:lineRule="exact"/>
        <w:rPr>
          <w:rFonts w:hint="eastAsia"/>
          <w:sz w:val="32"/>
          <w:szCs w:val="32"/>
          <w:u w:val="none"/>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本报北京3月1日电  中共中央党校3月1日举行建校90周年庆祝大会暨2023年春季学期开学典礼。中共中央总书记、国家主席、中央军委主席习近平出席并发表重要讲话。他强调，党校始终不变的初心就是为党育才、为党献策。各级党校要坚守这个初心，锐意进取、奋发有为，为全面建设社会主义现代化国家、全面推进中华民族伟大复兴作出新的贡献。</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中共中央政治局常委蔡奇、丁薛祥出席。</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上午10时，会议开始。全体起立，高唱国歌。</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在热烈的掌声中，习近平发表重要讲话。他指出，围绕中心、服务大局，是党校事业必须始终坚持的政治站位，是践行党校初心的必然要求。必须始终坚持以党的旗帜为旗帜、以党的意志为意志、以党的使命为使命，自觉在党的新的伟大事业和党的建设新的伟大工程中精准定位，自觉为党和国家工作大局服务。必须坚持正确办学方向，始终坚持党校姓党，坚持党性原则，自觉服从服务于党的政治路线，严守党的政治纪律和政治规矩，坚持在党爱党、在党言党、在党忧党、在党为党，增强“四个意识”、坚定“四个自信”、做到“两个维护”，在思想上政治上行动上自觉同党中央保持高度一致。必须找准党校工作与党的中心任务的结合点、切入点、着力点，紧扣党之所需、发挥自身优势，做到党需要什么样的干部，党校就培养什么样的干部；党需要研究解决什么重大问题，党校就努力在那些方面建言献策。</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强调，为党育才，是党校的独特价值所在。党校是干部教育培训的主阵地，必须在培养造就堪当民族复兴重任的执政骨干队伍上积极作为，做好新时代的传道、授业、解惑工作，传好马克思主义真理之道，授好推动改革发展稳定之业，解好改造主观世界和客观世界所遇之惑。</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指出，理论修养是领导干部综合素质的核心，理论上的成熟是政治上成熟的基础，政治上的坚定源于理论上的清醒。对领导干部来说，马克思主义这个看家本领掌握得越牢靠，政治站位就越高，政治判断力、政治领悟力、政治执行力就越强，观察时势、谋划发展、防范化解风险就越主动。党校要进一步加强马克思主义理论教育培训，重点抓好用马克思主义中国化时代化最新成果统一思想、统一意志、统一行动，坚持不懈用新时代中国特色社会主义思想凝心铸魂。</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强调，党校是领导干部锤炼党性的“大熔炉”。各级党校要把党性教育作为教学的主要内容，深入开展理想信念、党的宗旨、“四史”、革命传统、中华民族传统美德、党风廉政等教育，把党章和党规党纪学习教育作为党性教育的重要内容，引导和推动领导干部不断提高思想觉悟、精神境界、道德修养，树立正确的权力观、政绩观、事业观，保持共产党人的政治本色。</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指出，履行好党和人民赋予的新时代职责使命，领导干部必须全面增强各方面本领，努力成为本职工作的行家里手。各级党校要紧紧围绕党中央重大决策部署，紧密结合国家重大战略需求，组织开展务实管用的专业化能力培训，重点提升领导干部推动高质量发展本领、服务群众本领、防范化解风险本领，同时加强斗争精神和斗争本领养成，着力增强防风险、攻难关、迎挑战、抗打压能力，不断提高专业化水平，更好胜任领导工作。</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强调，党校作为党的思想理论战线的重要方面军，承担着为党献策的重要职责。要做好理论研究、对策研究这个探索规律、经世致用的大学问，在党的创新理论研究阐释、推进党的理论创新、为党和政府建言献策等方面推出高质量成果。这也是党校的独特价值所在。</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指出，党校是党的意识形态工作的重要前沿阵地，必须掌握在忠于党、忠于马克思主义的人手里。党校要宣传党的主张，有针对性地批驳各种歪理邪说，当好党的创新理论的积极宣讲者、马克思主义在意识形态领域指导地位的坚定维护者、用党的意识形态引导社会思潮的可靠排头兵。</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强调，坚守党校初心，就必须始终坚持从严治校、质量立校，遵循最严格的政治标准、学术标准、教学标准、管理标准，发挥不正之风“净化器”、党性锻炼“大熔炉”、全面从严治党“风向标”的作用。要加强党校光荣传统和优良作风教育，加强政治纪律和政治规矩教育，引导党校教师潜心治学、虔诚问道、悉心育人。各级党校要敢抓敢管、严抓严管，让学员一进党校就感受到学习之风、朴素之风、清朗之风。要把质量立校作为办学治校的生命工程，坚持高标准办学。要抓好人才队伍这个关键，大力实施人才强校战略。</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习近平最后强调，坚持党对党校工作的全面领导，是我们党办党校的根本经验，也是推动党校事业健康发展的根本保障。要坚持全党办党校，各级党委和政府、相关职能部门要以实际行动支持党校事业发展。</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陈希在主持会议时表示，习近平总书记的重要讲话回顾总结了中央党校90年历史成就和光辉业绩，围绕坚守“为党育才、为党献策”的党校初心作了全面深刻阐述，是指引新时代党校事业发展的纲领性文献。各级党校要深入学习贯彻习近平总书记重要讲话精神，深刻领悟“两个确立”的决定性意义，增强“四个意识”、坚定“四个自信”、做到“两个维护”，在新征程上不断开创党校工作新局面，为全面建设社会主义现代化国家、全面推进中华民族伟大复兴贡献智慧和力量。</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会议在雄壮的《国际歌》声中结束。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Times New Roman" w:hAnsi="Times New Roman" w:eastAsia="方正小标宋简体" w:cs="宋体"/>
          <w:b w:val="0"/>
          <w:bCs w:val="0"/>
          <w:color w:val="auto"/>
          <w:kern w:val="44"/>
          <w:sz w:val="32"/>
          <w:szCs w:val="32"/>
          <w:highlight w:val="none"/>
          <w:u w:val="none"/>
          <w:lang w:val="en-US" w:eastAsia="zh-CN" w:bidi="ar"/>
        </w:rPr>
      </w:pPr>
      <w:r>
        <w:rPr>
          <w:rFonts w:hint="eastAsia" w:ascii="Times New Roman" w:hAnsi="Times New Roman" w:eastAsia="方正小标宋简体" w:cs="宋体"/>
          <w:b w:val="0"/>
          <w:bCs w:val="0"/>
          <w:color w:val="auto"/>
          <w:kern w:val="44"/>
          <w:sz w:val="32"/>
          <w:szCs w:val="32"/>
          <w:highlight w:val="none"/>
          <w:u w:val="none"/>
          <w:lang w:val="en-US" w:eastAsia="zh-CN" w:bidi="ar"/>
        </w:rPr>
        <w:t>4.十四届全国人大一次会议在京闭幕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Times New Roman" w:hAnsi="Times New Roman" w:eastAsia="方正小标宋简体" w:cs="宋体"/>
          <w:b w:val="0"/>
          <w:bCs w:val="0"/>
          <w:color w:val="auto"/>
          <w:kern w:val="44"/>
          <w:sz w:val="32"/>
          <w:szCs w:val="32"/>
          <w:highlight w:val="none"/>
          <w:u w:val="none"/>
          <w:lang w:val="en-US" w:eastAsia="zh-CN" w:bidi="ar"/>
        </w:rPr>
      </w:pPr>
      <w:r>
        <w:rPr>
          <w:rFonts w:hint="eastAsia" w:ascii="Times New Roman" w:hAnsi="Times New Roman" w:eastAsia="方正小标宋简体" w:cs="宋体"/>
          <w:b w:val="0"/>
          <w:bCs w:val="0"/>
          <w:color w:val="auto"/>
          <w:kern w:val="44"/>
          <w:sz w:val="32"/>
          <w:szCs w:val="32"/>
          <w:highlight w:val="none"/>
          <w:u w:val="none"/>
          <w:lang w:val="en-US" w:eastAsia="zh-CN" w:bidi="ar"/>
        </w:rPr>
        <w:t xml:space="preserve">习近平发表重要讲话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人民日报 》（ 2023年03月14日   第 01 版）</w:t>
      </w:r>
    </w:p>
    <w:p>
      <w:pPr>
        <w:pStyle w:val="2"/>
        <w:keepNext w:val="0"/>
        <w:keepLines w:val="0"/>
        <w:pageBreakBefore w:val="0"/>
        <w:kinsoku/>
        <w:wordWrap/>
        <w:overflowPunct/>
        <w:topLinePunct w:val="0"/>
        <w:autoSpaceDE/>
        <w:autoSpaceDN/>
        <w:bidi w:val="0"/>
        <w:spacing w:line="560" w:lineRule="exact"/>
        <w:rPr>
          <w:rFonts w:hint="eastAsia"/>
          <w:sz w:val="32"/>
          <w:szCs w:val="32"/>
          <w:u w:val="none"/>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640" w:firstLineChars="20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新华社北京3月13日电  中华人民共和国第十四届全国人民代表大会第一次会议，在圆满完成各项议程，产生新一届国家机构组成人员后，13日上午在北京人民大会堂闭幕。</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大会号召，全国各族人民更加紧密地团结在以习近平同志为核心的党中央周围，高举中国特色社会主义伟大旗帜，坚持以习近平新时代中国特色社会主义思想为指导，全面贯彻党的二十大精神，自信自强、守正创新，凝心聚力、埋头苦干，为全面建设社会主义现代化国家、全面推进中华民族伟大复兴而团结奋斗！</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中共中央总书记、国家主席、中央军委主席习近平在会上发表重要讲话。他表示，这次大会选举我继续担任中华人民共和国主席，我对各位代表和全国各族人民的信任，表示衷心感谢。人民的信任，是我前进的最大动力，也是我肩上沉甸甸的责任。我将忠实履行宪法赋予的职责，以国家需要为使命，以人民利益为准绳，恪尽职守，竭诚奉献，绝不辜负各位代表和全国各族人民的重托。</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十四届全国人大常委会委员长、副委员长、秘书长担任大会执行主席，并在主席台前排就座。他们是：赵乐际、李鸿忠、王东明、肖捷、郑建邦、丁仲礼、郝明金、蔡达峰、何维、武维华、铁凝、彭清华、张庆伟、洛桑江村、雪克来提·扎克尔、刘奇。</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李强、王沪宁、蔡奇、丁薛祥、李希、韩正等党和国家领导人出席会议。</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李克强、栗战书、汪洋、王岐山等在主席台就座。</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会议应出席代表2977人，出席2947人，缺席30人，出席人数符合法定人数。</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闭幕会由大会执行主席、十四届全国人大常委会委员长赵乐际主持。</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上午9时，赵乐际宣布会议开始。</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会议经表决，通过了十四届全国人大一次会议关于政府工作报告的决议。决议指出，会议高度评价新时代十年我国经济社会发展取得的历史性成就、发生的历史性变革，充分肯定国务院过去一年和五年的工作，同意报告提出的2023年经济社会发展的总体要求、主要目标、政策取向和重点工作，决定批准这个报告。</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会议经表决，通过了关于修改立法法的决定。决定自2023年3月15日起施行。国家主席习近平签署第三号主席令予以公布。</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会议表决通过了十四届全国人大一次会议关于2022年国民经济和社会发展计划执行情况与2023年国民经济和社会发展计划的决议，决定批准关于2022年国民经济和社会发展计划执行情况与2023年国民经济和社会发展计划草案的报告，批准2023年国民经济和社会发展计划；表决通过了十四届全国人大一次会议关于2022年中央和地方预算执行情况与2023年中央和地方预算的决议，决定批准关于2022年中央和地方预算执行情况与2023年中央和地方预算草案的报告，批准2023年中央预算。</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会议表决通过了关于全国人大常委会工作报告的决议、关于最高人民法院工作报告的决议、关于最高人民检察院工作报告的决议，决定批准这三个报告。</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完成上述议程后，习近平发表了重要讲话。</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指出，具有五千多年文明史的中华民族，在历史上创造了无数辉煌，也经历过许多磨难。近代以后，中国逐步成为半殖民地半封建社会，饱受列强欺凌、四分五裂、战乱频繁、生灵涂炭之苦。中国共产党成立之后，紧紧团结带领全国各族人民，经过百年奋斗，洗雪民族耻辱，中国人民成为自己命运的主人，中华民族迎来了从站起来、富起来到强起来的伟大飞跃，中华民族伟大复兴进入了不可逆转的历史进程。</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强调，从现在起到本世纪中叶，全面建成社会主义现代化强国、全面推进中华民族伟大复兴，是全党全国人民的中心任务。强国建设、民族复兴的接力棒，历史地落在我们这一代人身上。我们要按照党的二十大的战略部署，坚持统筹推进“五位一体”总体布局、协调推进“四个全面”战略布局，加快推进中国式现代化建设，团结奋斗，开拓创新，在新征程上作出无负时代、无负历史、无负人民的业绩，为推进强国建设、民族复兴作出我们这一代人的应有贡献。</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指出，在强国建设、民族复兴的新征程，我们要坚定不移推动高质量发展。要完整、准确、全面贯彻新发展理念，加快构建新发展格局，深入实施科教兴国战略、人才强国战略、创新驱动发展战略，着力提升科技自立自强能力，推动产业转型升级，推动城乡区域协调发展，推动经济社会发展绿色化、低碳化，推动经济实现质的有效提升和量的合理增长，不断壮大我国经济实力、科技实力、综合国力。</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强调，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指出，安全是发展的基础，稳定是强盛的前提。要贯彻总体国家安全观，健全国家安全体系，增强维护国家安全能力，提高公共安全治理水平，完善社会治理体系，以新安全格局保障新发展格局。要全面推进国防和军队现代化建设，把人民军队建设成为有效维护国家主权、安全、发展利益的钢铁长城。</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强调，推进强国建设，离不开香港、澳门长期繁荣稳定。要全面准确、坚定不移贯彻“一国两制”、“港人治港”、“澳人治澳”、高度自治的方针，坚持依法治港治澳，支持香港、澳门特别行政区发展经济、改善民生，更好融入国家发展大局。实现祖国完全统一是全体中华儿女的共同愿望，是民族复兴的题中之义。要贯彻新时代党解决台湾问题的总体方略，坚持一个中国原则和“九二共识”，积极促进两岸关系和平发展，坚决反对外部势力干涉和“台独”分裂活动，坚定不移推进祖国统一进程。</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强调，中国的发展惠及世界，中国的发展离不开世界。我们要扎实推进高水平对外开放，既用好全球市场和资源发展自己，又推动世界共同发展。我们要高举和平、发展、合作、共赢旗帜，始终站在历史正确一边，践行真正的多边主义，践行全人类共同价值，积极参与全球治理体系改革和建设，推动建设开放型世界经济，推动落实全球发展倡议、全球安全倡议，为世界和平发展增加更多稳定性和正能量，为我国发展营造良好国际环境。</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习近平指出，治国必先治党，党兴才能国强。推进强国建设，必须坚持中国共产党领导和党中央集中统一领导，切实加强党的建设。要时刻保持解决大党独有难题的清醒和坚定，勇于自我革命，一刻不停全面从严治党，坚定不移反对腐败，始终保持党的团结统一，确保党永远不变质、不变色、不变味，为强国建设、民族复兴提供坚强保证。</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64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习近平强调，强国建设、民族复兴的宏伟目标令人鼓舞，催人奋进。我们要只争朝夕，坚定历史自信，增强历史主动，坚持守正创新，保持战略定力，发扬斗争精神，勇于攻坚克难，不断为强国建设、民族复兴伟业添砖加瓦、增光添彩。</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64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习近平的讲话赢得全场多次热烈的掌声。</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赵乐际随后也发表了讲话。他说，完全赞成和拥护习近平主席的重要讲话。讲话坚守人民立场、坚定历史自信、彰显使命担当、指引前进方向，必将激励全国各族人民在强国建设、民族复兴新征程踔厉奋发、勇毅前行，要认真学习领会、全面贯彻落实。他说，习近平同志再次全票当选为中华人民共和国主席、中华人民共和国中央军事委员会主席，反映了全体全国人大代表的共同意志和全国各族人民的共同心愿。党确立习近平同志党中央的核心、全党的核心地位，确立习近平新时代中国特色社会主义思想的指导地位，对新时代党和国家事业发展、对推进中华民族伟大复兴历史进程具有决定性意义。要坚决拥护“两个确立”，自觉增强“四个意识”、坚定“四个自信”、做到“两个维护”。</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赵乐际说，大会全面贯彻党的二十大和二十届一中、二中全会精神，圆满完成了各项议程，是一次民主、团结、求实、奋进的大会。他代表十四届全国人大及其常委会，向十三届全国人大代表，向十三届全国人大常委会组成人员，向栗战书同志，致以崇高的敬意！</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赵乐际说，大会选举产生了十四届全国人大常委会，并选举我担任委员长。我们衷心感谢各位代表的信任，深感使命崇高、责任重大。我们将始终坚持党的全面领导，紧紧依靠人大代表和人民群众，尊崇宪法，恪尽职守，廉洁奉公，接受人民监督，为党和国家事业竭诚奉献，绝不辜负各位代表和全国各族人民的重托。</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赵乐际说，党的二十大擘画了全面建成社会主义现代化强国、以中国式现代化全面推进中华民族伟大复兴的宏伟蓝图。十四届全国人大及其常委会要全面贯彻党的二十大精神，认真履行宪法法律赋予的职责，坚持党的领导、人民当家作主、依法治国有机统一，把人民代表大会制度坚持好、完善好、运行好，推动党的二十大确定的目标任务落实见效，为全面建设社会主义现代化国家贡献力量。</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赵乐际说，我们要发展全过程人民民主，保证人民依法实行民主选举、民主协商、民主决策、民主管理、民主监督。健全保证宪法全面实施的制度体系，不断提高宪法实施和监督水平。深入推进科学立法、民主立法、依法立法，使法律体系更加科学完备、统一权威。实行正确监督、有效监督、依法监督，保证宪法法律全面有效实施。充分发挥代表来自人民、扎根人民的特点优势，当好党和国家联系人民群众的桥梁。全面加强人大及其常委会自身建设，切实担当起新时代新征程赋予的使命责任。（讲话全文另发）</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9时57分，赵乐际宣布：中华人民共和国第十四届全国人民代表大会第一次会议闭幕。大会在雄壮的国歌声中结束。</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在主席台就座的还有：马兴瑞、王毅、尹力、石泰峰、刘国中、李干杰、李书磊、何卫东、何立峰、张又侠、张国清、陈文清、陈吉宁、陈敏尔、袁家军、黄坤明、刘金国、王小洪、李尚福、吴政隆、谌贻琴、秦刚、张军、应勇、胡春华、沈跃跃、王勇、周强、帕巴拉·格列朗杰、何厚铧、梁振英、巴特尔、苏辉、邵鸿、高云龙、陈武、穆虹、咸辉、王东峰、姜信治、蒋作君、何报翔、王光谦、秦博勇、朱永新、杨震和许其亮、孙春兰、王晨、刘鹤、杨晓渡、曹建明、张春贤、吉炳轩、艾力更·依明巴海、万鄂湘、陈竺、白玛赤林、魏凤和、赵克志、张庆黎、刘奇葆、万钢、卢展工、马飚、夏宝龙、杨传堂、李斌、汪永清、辜胜阻、刘新成，中央军委委员刘振立、苗华、张升民等。</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香港特别行政区行政长官李家超、澳门特别行政区行政长官贺一诚列席会议并在主席台就座。</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中央和国家机关有关部门、解放军有关单位和武警部队、各人民团体有关负责人列席或旁听了大会。</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外国驻华使节旁听了大会。</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147" w:right="147" w:firstLine="0"/>
        <w:textAlignment w:val="auto"/>
        <w:rPr>
          <w:rFonts w:hint="eastAsia" w:ascii="仿宋" w:hAnsi="仿宋" w:eastAsia="仿宋" w:cs="仿宋"/>
          <w:caps w:val="0"/>
          <w:color w:val="auto"/>
          <w:spacing w:val="0"/>
          <w:sz w:val="32"/>
          <w:szCs w:val="32"/>
          <w:u w:val="none"/>
          <w:shd w:val="clear" w:color="auto" w:fill="FFFFFF"/>
        </w:rPr>
      </w:pPr>
      <w:r>
        <w:rPr>
          <w:rFonts w:hint="eastAsia" w:ascii="仿宋" w:hAnsi="仿宋" w:eastAsia="仿宋" w:cs="仿宋"/>
          <w:caps w:val="0"/>
          <w:color w:val="auto"/>
          <w:spacing w:val="0"/>
          <w:sz w:val="32"/>
          <w:szCs w:val="32"/>
          <w:u w:val="none"/>
          <w:shd w:val="clear" w:color="auto" w:fill="FFFFFF"/>
        </w:rPr>
        <w:t>　　13日下午，习近平等党和国家领导人在人民大会堂会见了出席十四届全国人大一次会议的全体代表，同他们合影留念。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宋体"/>
          <w:b w:val="0"/>
          <w:bCs w:val="0"/>
          <w:color w:val="auto"/>
          <w:kern w:val="44"/>
          <w:sz w:val="32"/>
          <w:szCs w:val="32"/>
          <w:highlight w:val="none"/>
          <w:u w:val="none"/>
          <w:lang w:val="en-US" w:eastAsia="zh-CN" w:bidi="ar"/>
        </w:rPr>
      </w:pP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outlineLvl w:val="0"/>
        <w:rPr>
          <w:rFonts w:hint="eastAsia" w:ascii="Times New Roman" w:hAnsi="Times New Roman" w:eastAsia="方正小标宋简体" w:cs="宋体"/>
          <w:b w:val="0"/>
          <w:bCs w:val="0"/>
          <w:color w:val="auto"/>
          <w:kern w:val="44"/>
          <w:sz w:val="32"/>
          <w:szCs w:val="32"/>
          <w:highlight w:val="none"/>
          <w:u w:val="none"/>
          <w:lang w:val="en-US" w:eastAsia="zh-CN" w:bidi="ar"/>
        </w:rPr>
      </w:pPr>
      <w:r>
        <w:rPr>
          <w:rFonts w:hint="eastAsia" w:ascii="Times New Roman" w:hAnsi="Times New Roman" w:eastAsia="方正小标宋简体" w:cs="宋体"/>
          <w:b w:val="0"/>
          <w:bCs w:val="0"/>
          <w:color w:val="auto"/>
          <w:kern w:val="44"/>
          <w:sz w:val="32"/>
          <w:szCs w:val="32"/>
          <w:highlight w:val="none"/>
          <w:u w:val="none"/>
          <w:lang w:val="en-US" w:eastAsia="zh-CN" w:bidi="ar"/>
        </w:rPr>
        <w:t>5.2023年政府工作报告——2023年3月5日在第十四届全国人民代表大会第一次会议上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国务院总理 李克强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bCs/>
          <w:color w:val="auto"/>
          <w:sz w:val="32"/>
          <w:szCs w:val="32"/>
          <w:u w:val="no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人民日报 》（ 2023年03月15日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color w:val="auto"/>
          <w:sz w:val="32"/>
          <w:szCs w:val="32"/>
          <w:u w:val="no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各位代表：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本届政府任期即将结束。现在，我代表国务院，向大会报告工作，请予审议，并请全国政协委员提出意见。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w:t>
      </w:r>
      <w:r>
        <w:rPr>
          <w:rFonts w:hint="eastAsia" w:ascii="仿宋" w:hAnsi="仿宋" w:eastAsia="仿宋" w:cs="仿宋"/>
          <w:b/>
          <w:i w:val="0"/>
          <w:color w:val="333333"/>
          <w:sz w:val="32"/>
          <w:szCs w:val="32"/>
          <w:u w:val="none"/>
        </w:rPr>
        <w:t>一、过去一年和五年工作回顾</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2022年是党和国家历史上极为重要的一年。党的二十大胜利召开，描绘了全面建设社会主义现代化国家的宏伟蓝图。面对风高浪急的国际环境和艰巨繁重的国内改革发展稳定任务，以习近平同志为核心的党中央团结带领全国各族人民迎难而上，全面落实疫情要防住、经济要稳住、发展要安全的要求，加大宏观调控力度，实现了经济平稳运行、发展质量稳步提升、社会大局保持稳定，我国发展取得来之极为不易的新成就。</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过去一年，我国经济发展遇到疫情等国内外多重超预期因素冲击。在党中央坚强领导下，我们高效统筹疫情防控和经济社会发展，根据病毒变化和防疫形势，优化调整疫情防控措施。面对经济新的下行压力，果断应对、及时调控，动用近年储备的政策工具，靠前实施既定政策举措，坚定不移推进供给侧结构性改革，出台实施稳经济一揽子政策和接续措施，部署稳住经济大盘工作，加强对地方落实政策的督导服务，支持各地挖掘政策潜力，支持经济大省勇挑大梁，突出稳增长稳就业稳物价，推动经济企稳回升。全年国内生产总值增长3%，城镇新增就业1206万人，年末城镇调查失业率降到5.5%，居民消费价格上涨2%。货物进出口总额增长7.7%。财政赤字率控制在2.8%，中央财政收支符合预算、支出略有结余。国际收支保持平衡，人民币汇率在全球主要货币中表现相对稳健。粮食产量1.37万亿斤，增产74亿斤。生态环境质量持续改善。在攻坚克难中稳住了经济大盘，在复杂多变的环境中基本完成全年发展主要目标任务，我国经济展现出坚强韧性。</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针对企业生产经营困难加剧，加大纾困支持力度。受疫情等因素冲击，不少企业和个体工商户遇到特殊困难。全年增值税留抵退税超过2.4万亿元，新增减税降费超过1万亿元，缓税缓费7500多亿元。为有力支持减税降费政策落实，中央对地方转移支付大幅增加。引导金融机构增加信贷投放，降低融资成本，新发放企业贷款平均利率降至有统计以来最低水平，对受疫情影响严重的中小微企业、个体工商户和餐饮、旅游、货运等实施阶段性贷款延期还本付息，对普惠小微贷款阶段性减息。用改革办法激发市场活力。量大面广的中小微企业和个体工商户普遍受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针对有效需求不足的突出矛盾，多措并举扩投资促消费稳外贸。去年终端消费直接受到冲击，投资也受到影响。提前实施部分“十四五”规划重大工程项目，加快地方政府专项债券发行使用，依法盘活用好专项债务结存限额，分两期投放政策性开发性金融工具7400亿元，为重大项目建设补充资本金。运用专项再贷款、财政贴息等政策，支持重点领域设备更新改造。采取联合办公、地方承诺等办法，提高项目审批效率。全年基础设施、制造业投资分别增长9.4%、9.1%，带动固定资产投资增长5.1%，一定程度弥补了消费收缩缺口。发展消费新业态新模式，采取减免车辆购置税等措施促进汽车消费，新能源汽车销量增长93.4%，开展绿色智能家电、绿色建材下乡，社会消费品零售总额保持基本稳定。出台金融支持措施，支持刚性和改善性住房需求，扎实推进保交楼稳民生工作。帮助外贸企业解决原材料、用工、物流等难题，提升港口集疏运效率，及时回应和解决外资企业关切，货物进出口好于预期，实际使用外资稳定增长。</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针对就业压力凸显，强化稳岗扩就业政策支持。去年城镇调查失业率一度明显攀升。财税、金融、投资等政策更加注重稳就业。对困难行业企业社保费实施缓缴，大幅提高失业保险基金稳岗返还比例，增加稳岗扩岗补助。落实担保贷款、租金减免等创业支持政策。突出做好高校毕业生就业工作，开展就业困难人员专项帮扶。在重点工程建设中推广以工代赈。脱贫人口务工规模超过3200万人、实现稳中有增。就业形势总体保持稳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针对全球通胀高企带来的影响，以粮食和能源为重点做好保供稳价。去年全球通胀达到40多年来新高，国内价格稳定面临较大压力。有效应对洪涝、干旱等严重自然灾害，不误农时抢抓粮食播种和收获，督促和协调农机通行，保障农事活动有序开展，分三批向种粮农民发放农资补贴，保障粮食丰收和重要农产品稳定供给。发挥煤炭主体能源作用，增加煤炭先进产能，加大对发电供热企业支持力度，保障能源正常供应。在全球高通胀的背景下，我国物价保持较低水平，尤为难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针对部分群众生活困难增多，强化基本民生保障。阶段性扩大低保等社会保障政策覆盖面，将更多困难群体纳入保障范围。延续实施失业保险保障扩围政策，共向1000多万失业人员发放失业保险待遇。向更多低收入群众发放价格补贴，约6700万人受益。免除经济困难高校毕业生2022年国家助学贷款利息并允许延期还本。做好因疫因灾遇困群众临时救助工作，切实兜住民生底线。</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与此同时，我们全面落实中央经济工作会议部署，按照十三届全国人大五次会议批准的政府工作报告安排，统筹推进经济社会各领域工作。经过艰苦努力，当前消费需求、市场流通、工业生产、企业预期等明显向好，经济增长正在企稳向上，我国经济有巨大潜力和发展动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各位代表！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过去五年极不寻常、极不平凡。在以习近平同志为核心的党中央坚强领导下，我们经受了世界变局加快演变、新冠疫情冲击、国内经济下行等多重考验，如期打赢脱贫攻坚战，如期全面建成小康社会，实现第一个百年奋斗目标，开启向第二个百年奋斗目标进军新征程。各地区各部门坚持以习近平新时代中国特色社会主义思想为指导，深刻领悟“两个确立”的决定性意义，增强“四个意识”、坚定“四个自信”、做到“两个维护”，全面贯彻党的十九大和十九届历次全会精神，深入贯彻党的二十大精神，坚持稳中求进工作总基调，完整、准确、全面贯彻新发展理念，构建新发展格局，推动高质量发展，统筹发展和安全，我国经济社会发展取得举世瞩目的重大成就。</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经济发展再上新台阶。国内生产总值增加到121万亿元，五年年均增长5.2%，十年增加近70万亿元、年均增长6.2%，在高基数基础上实现了中高速增长、迈向高质量发展。财政收入增加到20.4万亿元。粮食产量连年稳定在1.3万亿斤以上。工业增加值突破40万亿元。城镇新增就业年均1270多万人。外汇储备稳定在3万亿美元以上。我国经济实力明显提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——脱贫攻坚任务胜利完成。经过八年持续努力，近1亿农村贫困人口实现脱贫，全国832个贫困县全部摘帽，960多万贫困人口实现易地搬迁，历史性地解决了绝对贫困问题。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科技创新成果丰硕。构建新型举国体制，组建国家实验室，分批推进全国重点实验室重组。一些关键核心技术攻关取得新突破，载人航天、探月探火、深海深地探测、超级计算机、卫星导航、量子信息、核电技术、大飞机制造、人工智能、生物医药等领域创新成果不断涌现。全社会研发经费投入强度从2.1%提高到2.5%以上，科技进步贡献率提高到60%以上，创新支撑发展能力不断增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经济结构进一步优化。高技术制造业、装备制造业增加值年均分别增长10.6%、7.9%，数字经济不断壮大，新产业新业态新模式增加值占国内生产总值的比重达到17%以上。区域协调发展战略、区域重大战略深入实施。常住人口城镇化率从60.2%提高到65.2%，乡村振兴战略全面实施。经济发展新动能加快成长。</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基础设施更加完善。一批防汛抗旱、引水调水等重大水利工程开工建设。高速铁路运营里程从2.5万公里增加到4.2万公里，高速公路里程从13.6万公里增加到17.7万公里。新建改建农村公路125万公里。新增机场容量4亿人次。发电装机容量增长40%以上。所有地级市实现千兆光网覆盖，所有行政村实现通宽带。</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改革开放持续深化。全面深化改革开放推动构建新发展格局，供给侧结构性改革深入实施，简政放权、放管结合、优化服务改革不断深化，营商环境明显改善。共建“一带一路”扎实推进。推动区域全面经济伙伴关系协定（RCEP）生效实施，建成全球最大自由贸易区。货物进出口总额年均增长8.6%，突破40万亿元并连续多年居世界首位，吸引外资和对外投资居世界前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——生态环境明显改善。单位国内生产总值能耗下降8.1%、二氧化碳排放下降14.1%。地级及以上城市细颗粒物（PM</w:t>
      </w:r>
      <w:r>
        <w:rPr>
          <w:rFonts w:hint="eastAsia" w:ascii="仿宋" w:hAnsi="仿宋" w:eastAsia="仿宋" w:cs="仿宋"/>
          <w:i w:val="0"/>
          <w:color w:val="333333"/>
          <w:sz w:val="32"/>
          <w:szCs w:val="32"/>
          <w:u w:val="none"/>
          <w:vertAlign w:val="subscript"/>
        </w:rPr>
        <w:t>2.5</w:t>
      </w:r>
      <w:r>
        <w:rPr>
          <w:rFonts w:hint="eastAsia" w:ascii="仿宋" w:hAnsi="仿宋" w:eastAsia="仿宋" w:cs="仿宋"/>
          <w:i w:val="0"/>
          <w:color w:val="333333"/>
          <w:sz w:val="32"/>
          <w:szCs w:val="32"/>
          <w:u w:val="none"/>
        </w:rPr>
        <w:t>）平均浓度下降27.5%，重污染天数下降超过五成，全国地表水优良水体比例由67.9%上升到87.9%。设立首批5个国家公园，建立各级各类自然保护地9000多处。美丽中国建设迈出重大步伐。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人民生活水平不断提高。居民收入增长与经济增长基本同步，全国居民人均可支配收入年均增长5.1%。居民消费价格年均上涨2.1%。新增劳动力平均受教育年限从13.5年提高到14年。基本养老保险参保人数增加1.4亿、覆盖10.5亿人，基本医保水平稳步提高。多年累计改造棚户区住房4200多万套，上亿人出棚进楼、实现安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经过多年精心筹办，成功举办了简约、安全、精彩的北京冬奥会、冬残奥会，为促进群众性冰雪运动、促进奥林匹克运动发展、促进世界人民团结友谊作出重要贡献。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新冠疫情发生三年多来，以习近平同志为核心的党中央始终坚持人民至上、生命至上，强化医疗资源和物资保障，全力救治新冠患者，有效保护人民群众生命安全和身体健康，因时因势优化调整防控政策措施，全国人民坚忍不拔，取得重大决定性胜利。在极不平凡的抗疫历程中，各地区各部门各单位做了大量工作，各行各业共克时艰，广大医务人员不畏艰辛，特别是亿万人民克服多重困难，付出和奉献，都十分不易，大家共同抵御疫情重大挑战，面对尚未结束的疫情，仍在不断巩固统筹疫情防控和经济社会发展成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各位代表！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五年来，我们深入贯彻以习近平同志为核心的党中央决策部署，主要做了以下工作。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一）创新宏观调控，保持经济运行在合理区间。面对贸易保护主义抬头、疫情冲击等接踵而来的严峻挑战，创新宏观调控方式，不过度依赖投资，统筹运用财政货币等政策，增强针对性有效性，直面市场变化，重点支持市场主体纾困发展，进而稳就业保民生。把年度主要预期目标作为一个有机整体来把握，加强区间调控、定向调控、相机调控、精准调控，既果断加大力度，又不搞“大水漫灌”、透支未来，持续做好“六稳”、“六保”工作，强化保居民就业、保基本民生、保市场主体、保粮食能源安全、保产业链供应链稳定、保基层运转，以改革开放办法推动经济爬坡过坎、持续前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坚持实施积极的财政政策。合理把握赤字规模，五年总体赤字率控制在3%以内，政府负债率控制在50%左右。不断优化支出结构，教育科技、生态环保、基本民生等重点领域得到有力保障。实施大规模减税降费政策，制度性安排与阶段性措施相结合，疫情发生后减税降费力度进一步加大，成为应对冲击的关键举措。彻底完成营改增任务、取消营业税，将增值税收入占比最高、涉及行业广泛的税率从17%降至13%，阶段性将小规模纳税人增值税起征点从月销售额3万元提高到15万元、小微企业所得税实际最低税负率从10%降至2.5%。减税降费公平普惠、高效直达，五年累计减税5.4万亿元、降费2.8万亿元，既帮助企业渡过难关、留得青山，也放水养鱼、涵养税源，年均新增涉税企业和个体工商户等超过1100万户，各年度中央财政收入预算都顺利完成，考虑留抵退税因素，全国财政收入十年接近翻一番。推动财力下沉，中央一般公共预算支出中对地方转移支付占比提高到70%左右，建立并常态化实施中央财政资金直达机制。各级政府坚持过紧日子，严控一般性支出，中央部门带头压减支出，盘活存量资金和闲置资产，腾出的资金千方百计惠企裕民，全国财政支出70%以上用于民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坚持实施稳健的货币政策。根据形势变化灵活把握政策力度，保持流动性合理充裕，用好降准、再贷款等政策工具，加大对实体经济的有效支持，缓解中小微企业融资难融资贵等问题。制造业贷款余额从16.3万亿元增加到27.4万亿元。普惠小微贷款余额从8.2万亿元增加到23.8万亿元、年均增长24%，贷款平均利率较五年前下降1.5个百分点。加大清理拖欠中小企业账款力度。人民币汇率在合理均衡水平上弹性增强、保持基本稳定。完全化解了历史上承担的国有商业银行和农村信用社等14486亿元金融改革成本。运用市场化法治化方式，精准处置一批大型企业集团风险，平稳化解高风险中小金融机构风险，大型金融机构健康发展，金融体系稳健运行，守住了不发生系统性风险的底线。</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强化就业优先政策导向。把稳就业作为经济运行在合理区间的关键指标。着力促进市场化社会化就业，加大对企业稳岗扩岗支持力度。将养老保险单位缴费比例从20%降至16%，同时充实全国社保基金，储备规模从1.8万亿元增加到2.5万亿元以上。实施失业保险基金稳岗返还、留工培训补助等政策。持续推进大众创业万众创新，连续举办8届全国双创活动周、超过5.2亿人次参与，鼓励以创业带动就业，加强劳动者权益保护，新就业形态和灵活就业成为就业增收的重要渠道。做好高校毕业生、退役军人、农民工等群体就业工作。使用失业保险基金等资金支持技能培训。实施高职扩招和职业技能提升三年行动，累计扩招413万人、培训8300多万人次。就业是民生之基、财富之源。14亿多人口大国保持就业稳定，难能可贵，蕴含着巨大创造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保持物价总体平稳。在应对冲击中没有持续大幅增加赤字规模，也没有超发货币，为物价稳定创造了宏观条件。下大气力抓农业生产，强化产销衔接和储备调节，确保粮食和生猪、蔬菜等稳定供应，及时解决煤炭电力供应紧张问题，满足民生和生产用能需求，保障交通物流畅通。加强市场监管，维护正常价格秩序。十年来我国居民消费价格涨幅稳定在2%左右的较低水平，成如容易却艰辛，既维护了市场经济秩序、为宏观政策实施提供了空间，又有利于更好保障基本民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二）如期打赢脱贫攻坚战，巩固拓展脱贫攻坚成果。全面建成小康社会最艰巨最繁重的任务在农村特别是在贫困地区。坚持精准扶贫，聚焦“三区三州”等深度贫困地区，强化政策倾斜支持，优先保障脱贫攻坚资金投入，对脱贫难度大的县和村挂牌督战。深入实施产业、就业、生态、教育、健康、社会保障等帮扶，加强易地搬迁后续扶持，重点解决“两不愁三保障”问题，脱贫群众不愁吃、不愁穿，义务教育、基本医疗、住房安全有保障，饮水安全也有了保障。贫困地区农村居民收入明显增加，生产生活条件显著改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推动巩固拓展脱贫攻坚成果同乡村振兴有效衔接。保持过渡期内主要帮扶政策总体稳定，严格落实“四个不摘”要求，建立健全防止返贫动态监测和帮扶机制，有力应对疫情、灾情等不利影响，确保不发生规模性返贫。确定并集中支持160个国家乡村振兴重点帮扶县，加大对易地搬迁集中安置区等重点区域支持力度，坚持并完善东西部协作、对口支援、定点帮扶等机制，选派用好医疗、教育“组团式”帮扶干部人才和科技特派员，推动脱贫地区加快发展和群众稳定增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三）聚焦重点领域和关键环节深化改革，更大激发市场活力和社会创造力。坚持社会主义市场经济改革方向，处理好政府和市场的关系，使市场在资源配置中起决定性作用，更好发挥政府作用，推动有效市场和有为政府更好结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持续推进政府职能转变。完成国务院及地方政府机构改革。加快建设全国统一大市场，建设高标准市场体系，营造市场化法治化国际化营商环境。大道至简，政简易行。持之以恒推进触动政府自身利益的改革。进一步简政放权，放宽市场准入，全面实施市场准入负面清单制度，清单管理措施比制度建立之初压减64%，将行政许可事项全部纳入清单管理。多年来取消和下放行政许可事项1000多项，中央政府层面核准投资项目压减90%以上，工业产品生产许可证从60类减少到10类，工程建设项目全流程审批时间压缩到不超过120个工作日。改革商事制度，推行“证照分离”改革，企业开办时间从一个月以上压缩到目前的平均4个工作日以内，实行中小微企业简易注销制度。坚持放管结合，加强事中事后监管，严格落实监管责任，防止监管缺位、重放轻管，强化食品药品等重点领域质量和安全监管，推行“双随机、一公开”等方式加强公正监管，规范行使行政裁量权。加强反垄断和反不正当竞争，全面落实公平竞争审查制度，改革反垄断执法体制。依法规范和引导资本健康发展，依法坚决管控资本无序扩张。不断优化服务，推进政务服务集成办理，压减各类证明事项，加快数字政府建设，90%以上的政务服务实现网上可办，户籍证明、社保转接等200多项群众经常办理事项实现跨省通办。取消所有省界高速公路收费站。制定实施优化营商环境、市场主体登记管理、促进个体工商户发展、保障中小企业款项支付等条例。改革给人们经商办企业更多便利和空间，去年底企业数量超过5200万户、个体工商户超过1.1亿户，市场主体总量超过1.6亿户、是十年前的3倍，发展内生动力明显增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促进多种所有制经济共同发展。坚持和完善社会主义基本经济制度，坚持“两个毫不动摇”。完成国企改革三年行动任务，健全现代企业制度，推动国企聚焦主责主业优化重组、提质增效。促进民营企业健康发展，破除各种隐性壁垒，一视同仁给予政策支持，提振民间投资信心。完善产权保护制度，保护企业家合法权益，弘扬企业家精神。</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推进财税金融体制改革。深化预算管理体制改革，加大预算公开力度，推进中央与地方财政事权和支出责任划分改革，完善地方政府债务管理体系，构建综合与分类相结合的个人所得税制，进一步深化税收征管改革。推动金融监管体制改革，统筹推进中小银行补充资本和改革化险，推进股票发行注册制改革，完善资本市场基础制度，加强金融稳定法治建设。</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四）深入实施创新驱动发展战略，推动产业结构优化升级。深化供给侧结构性改革，完善国家和地方创新体系，推进科技自立自强，紧紧依靠创新提升实体经济发展水平，不断培育壮大发展新动能，有效应对外部打压遏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增强科技创新引领作用。强化国家战略科技力量，实施一批科技创新重大项目，加强关键核心技术攻关。发挥好高校、科研院所作用，支持新型研发机构发展。推进国际和区域科技创新中心建设，布局建设综合性国家科学中心。支持基础研究和应用基础研究，全国基础研究经费五年增长1倍。改革科研项目和经费管理制度，赋予科研单位和科研人员更大自主权，努力将广大科技人员从繁杂的行政事务中解脱出来。加强知识产权保护，激发创新动力。促进国际科技交流合作。通过市场化机制激励企业创新，不断提高企业研发费用加计扣除比例，将制造业企业、科技型中小企业分别从50%、75%提高至100%，并阶段性扩大到所有适用行业，对企业投入基础研究、购置设备给予政策支持，各类支持创新的税收优惠政策年度规模已超过万亿元。创设支持创新的金融政策工具，引导创业投资等发展。企业研发投入保持两位数增长，一大批创新企业脱颖而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推动产业向中高端迈进。把制造业作为发展实体经济的重点，促进工业经济平稳运行，保持制造业比重基本稳定。严格执行环保、质量、安全等法规标准，淘汰落后产能。开展重点产业强链补链行动。启动一批产业基础再造工程。鼓励企业加快设备更新和技术改造，将固定资产加速折旧优惠政策扩大至全部制造业。推动高端装备、生物医药、光电子信息、新能源汽车、光伏、风电等新兴产业加快发展。促进数字经济和实体经济深度融合。持续推进网络提速降费，发展“互联网+”。移动互联网用户数增加到14.5亿户。支持工业互联网发展，有力促进了制造业数字化智能化。专精特新中小企业达7万多家。促进平台经济健康持续发展，发挥其带动就业创业、拓展消费市场、创新生产模式等作用。发展研发设计、现代物流、检验检测认证等生产性服务业。加强全面质量管理和质量基础设施建设。中国制造的品质和竞争力不断提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（五）扩大国内有效需求，推进区域协调发展和新型城镇化。围绕构建新发展格局，立足超大规模市场优势，坚持实施扩大内需战略，培育更多经济增长动力源。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着力扩大消费和有效投资。疫情发生前，消费已经成为我国经济增长的主要拉动力。面对需求不足甚至出现收缩，推动消费尽快恢复。多渠道促进居民增收，提高中低收入群体收入。支持汽车、家电等大宗消费，汽车保有量突破3亿辆、增长46.7%。推动线上线下消费深度融合，实物商品网上零售额占社会消费品零售总额的比重从15.8%提高到27.2%。发展城市社区便民商业，完善农村快递物流配送体系。帮扶旅游业发展。围绕补短板、调结构、增后劲扩大有效投资。创新投融资体制机制，预算内投资引导和撬动社会投资成倍增加，增加地方政府专项债券额度，重点支持交通、水利、能源、信息等基础设施和民生工程建设，鼓励社会资本参与建设运营，调动民间投资积极性。</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增强区域发展平衡性协调性。统筹推进西部大开发、东北全面振兴、中部地区崛起、东部率先发展，中西部地区经济增速总体高于东部地区。加大对革命老区、民族地区、边疆地区的支持力度，中央财政对相关地区转移支付资金比五年前增长66.8%。推进京津冀协同发展、长江经济带发展、长三角一体化发展，推动黄河流域生态保护和高质量发展。高标准高质量建设雄安新区。发展海洋经济。支持经济困难地区发展，促进资源型地区转型发展，鼓励有条件地区更大发挥带动作用，推动形成更多新的增长极增长带。</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持续推进以人为核心的新型城镇化。我国仍处于城镇化进程中，每年有上千万农村人口转移到城镇。完善城市特别是县城功能，增强综合承载能力。分类放宽或取消城镇落户限制，十年1.4亿农村人口在城镇落户。有序发展城市群和都市圈，促进大中小城市协调发展。推动成渝地区双城经济圈建设。坚持房子是用来住的、不是用来炒的定位，建立实施房地产长效机制，扩大保障性住房供给，推进长租房市场建设，稳地价、稳房价、稳预期，因城施策促进房地产市场健康发展。加强城市基础设施建设，轨道交通运营里程从4500多公里增加到近1万公里，排水管道从63万公里增加到89万公里。改造城镇老旧小区16.7万个，惠及2900多万家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（六）保障国家粮食安全，大力实施乡村振兴战略。完善强农惠农政策，持续抓紧抓好农业生产，加快推进农业农村现代化。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提升农业综合生产能力。稳定和扩大粮食播种面积，扩种大豆油料，优化生产结构布局，提高单产和品质。完善粮食生产支持政策，稳定种粮农民补贴，合理确定稻谷、小麦最低收购价，加大对产粮大县奖励力度，健全政策性农业保险制度。加强耕地保护，实施黑土地保护工程，完善水利设施，新建高标准农田4.56亿亩。推进国家粮食安全产业带建设。加快种业、农机等科技创新和推广应用，农作物耕种收综合机械化率从67%提高到73%。全面落实粮食安全党政同责，强化粮食和重要农产品稳产保供，始终不懈地把14亿多中国人的饭碗牢牢端在自己手中。</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扎实推进农村改革发展。巩固和完善农村基本经营制度，完成承包地确权登记颁证和农村集体产权制度改革阶段性任务，稳步推进多种形式适度规模经营，抓好家庭农场和农民合作社发展，加快发展农业社会化服务。启动乡村建设行动，持续整治提升农村人居环境，加强水电路气信邮等基础设施建设，实现符合条件的乡镇和建制村通硬化路、通客车，农村自来水普及率从80%提高到87%，多年累计改造农村危房2400多万户。深化供销合作社、集体林权、农垦等改革。立足特色资源发展乡村产业，促进农民就业创业增收。为保障农民工及时拿到应得报酬，持续强化农民工工资拖欠治理，出台实施保障农民工工资支付条例，严厉打击恶意拖欠行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（七）坚定扩大对外开放，深化互利共赢的国际经贸合作。面对外部环境变化，实行更加积极主动的开放战略，以高水平开放更有力促改革促发展。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推动进出口稳中提质。加大出口退税、信保、信贷等政策支持力度，企业出口退税办理时间压缩至6个工作日以内。优化外汇服务。发展外贸新业态，新设152个跨境电商综试区，支持建设一批海外仓。发挥进博会、广交会、服贸会、消博会等重大展会作用。推进通关便利化，进口、出口通关时间分别压减67%和92%，进出口环节合规成本明显下降。关税总水平从9.8%降至7.4%。全面深化服务贸易创新发展试点，推出跨境服务贸易负面清单。进出口稳定增长有力支撑了经济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积极有效利用外资。出台外商投资法实施条例，不断优化外商投资环境。持续放宽外资市场准入，全国和自由贸易试验区负面清单条数分别压减51%、72%，制造业领域基本全面放开，金融等服务业开放水平不断提升。已设21个自由贸易试验区，海南自由贸易港建设稳步推进。各地创新方式加强外资促进服务，加大招商引资和项目对接力度。一批外资大项目落地，我国持续成为外商投资兴业的热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推动高质量共建“一带一路”。坚持共商共建共享，遵循市场原则和国际通行规则，实施一批互联互通和产能合作项目，对沿线国家货物进出口额年均增长13.4%，各领域交流合作不断深化。推进西部陆海新通道建设。引导对外投资健康有序发展，加强境外风险防控。新签和升级6个自贸协定，与自贸伙伴货物进出口额占比从26%提升至35%左右。坚定维护多边贸易体制，反对贸易保护主义，稳妥应对经贸摩擦，促进贸易和投资自由化便利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（八）加强生态环境保护，促进绿色低碳发展。坚持绿水青山就是金山银山的理念，健全生态文明制度体系，处理好发展和保护的关系，不断提升可持续发展能力。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加强污染治理和生态建设。坚持精准治污、科学治污、依法治污，深入推进污染防治攻坚。注重多污染物协同治理和区域联防联控，地级及以上城市空气质量优良天数比例达86.5%、上升4个百分点。基本消除地级及以上城市黑臭水体，推进重要河湖、近岸海域污染防治。加大土壤污染风险防控和修复力度，强化固体废物和新污染物治理。全面划定耕地和永久基本农田保护红线、生态保护红线和城镇开发边界。坚持山水林田湖草沙一体化保护和系统治理，实施一批重大生态工程，全面推行河湖长制、林长制。推动共抓长江大保护，深入实施长江流域重点水域十年禁渔。加强生物多样性保护。完善生态保护补偿制度。森林覆盖率达到24%，草原综合植被盖度和湿地保护率均达50%以上，水土流失、荒漠化、沙化土地面积分别净减少10.6万、3.8万、3.3万平方公里。人民群众越来越多享受到蓝天白云、绿水青山。</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稳步推进节能降碳。统筹能源安全稳定供应和绿色低碳发展，科学有序推进碳达峰碳中和。优化能源结构，实现超低排放的煤电机组超过10.5亿千瓦，可再生能源装机规模由6.5亿千瓦增至12亿千瓦以上，清洁能源消费占比由20.8%上升到25%以上。全面加强资源节约工作，发展绿色产业和循环经济，促进节能环保技术和产品研发应用。提升生态系统碳汇能力。加强绿色发展金融支持。完善能耗考核方式。积极参与应对气候变化国际合作，为推动全球气候治理作出了中国贡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（九）切实保障和改善民生，加快社会事业发展。贯彻以人民为中心的发展思想，持续增加民生投入，着力保基本、兜底线、促公平，提升公共服务水平，推进基本公共服务均等化，在发展中不断增进民生福祉。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促进教育公平和质量提升。百年大计，教育为本。财政性教育经费占国内生产总值比例每年都保持在4%以上，学生人均经费投入大幅增加。持续加强农村义务教育薄弱环节建设，基本消除城镇大班额，推动解决进城务工人员子女入学问题，义务教育巩固率由93.8%提高到95.5%。坚持义务教育由国家统一实施，引导规范民办教育发展。减轻义务教育阶段学生负担。提升青少年健康水平。持续实施营养改善计划，每年惠及3700多万学生。保障教师特别是乡村教师工资待遇。多渠道增加幼儿园供给。高中阶段教育毛入学率提高到90%以上。职业教育适应性增强，职业院校办学条件持续改善。积极稳妥推进高考综合改革，高等教育毛入学率从45.7%提高到59.6%，高校招生持续加大对中西部地区和农村地区倾斜力度。大幅提高经济困难高校学生国家助学贷款额度。深入实施“强基计划”和基础学科拔尖人才培养计划，建设288个基础学科拔尖学生培养基地，接续推进世界一流大学和一流学科建设，不断夯实发展的人才基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提升医疗卫生服务能力。深入推进和努力普及健康中国行动，深化医药卫生体制改革，把基本医疗卫生制度作为公共产品向全民提供，进一步缓解群众看病难、看病贵问题。持续提高基本医保和大病保险水平，城乡居民医保人均财政补助标准从450元提高到610元。将更多群众急需药品纳入医保报销范围。住院和门诊费用实现跨省直接结算，惠及5700多万人次。推行药品和医用耗材集中带量采购，降低费用负担超过4000亿元。设置13个国家医学中心，布局建设76个国家区域医疗中心。全面推开公立医院综合改革，持续提升县域医疗卫生服务能力，完善分级诊疗体系。优化老年人等群体就医服务。促进中医药传承创新发展、惠及民生。基本公共卫生服务经费人均财政补助标准从50元提高到84元。坚持预防为主，加强重大慢性病健康管理。改革完善疾病预防控制体系，组建国家疾病预防控制局，健全重大疫情防控救治和应急物资保障体系，努力保障人民健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加强社会保障和服务。建立基本养老保险基金中央调剂制度，连续上调退休人员基本养老金，提高城乡居民基础养老金最低标准，稳步提升城乡低保、优待抚恤、失业和工伤保障等标准。积极应对人口老龄化，推动老龄事业和养老产业发展。发展社区和居家养老服务，加强配套设施和无障碍设施建设，在税费、用房、水电气价格等方面给予政策支持。推进医养结合，稳步推进长期护理保险制度试点。实施三孩生育政策及配套支持措施。完善退役军人管理保障制度，提高保障水平。加强妇女、儿童权益保障。完善未成年人保护制度。健全残疾人保障和关爱服务体系。健全社会救助体系，加强低收入人口动态监测，对遇困人员及时给予帮扶，年均临时救助1100万人次，坚决兜住了困难群众基本生活保障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丰富人民群众精神文化生活。培育和践行社会主义核心价值观。深化群众性精神文明创建。发展新闻出版、广播影视、文学艺术、哲学社会科学和档案等事业，加强智库建设。扎实推进媒体深度融合。提升国际传播效能。加强和创新互联网内容建设。弘扬中华优秀传统文化，加强文物和文化遗产保护传承。实施文化惠民工程，公共图书馆、博物馆、美术馆、文化馆站向社会免费开放。深入推进全民阅读。支持文化产业发展。加强国家科普能力建设。体育健儿勇创佳绩，全民健身广泛开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推进政府依法履职和社会治理创新，保持社会大局稳定。加强法治政府建设，使经济社会活动更好在法治轨道上运行。坚持依法行政、大道为公，严格规范公正文明执法，政府的权力来自人民，有权不可任性，用权必受监督。推动完善法律法规和规章制度，提请全国人大常委会审议法律议案50件，制定修订行政法规180件次。依法接受同级人大及其常委会的监督，自觉接受人民政协的民主监督，主动接受社会和舆论监督。认真办理人大代表建议和政协委员提案。加强审计、统计监督。持续深化政务公开。开展国务院大督查。支持工会、共青团、妇联等群团组织更好发挥作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加强和创新社会治理。推动市域社会治理现代化，完善基层治理，优化社区服务。支持社会组织、人道救助、社会工作、志愿服务、公益慈善等健康发展。深入推进信访积案化解。推进社会信用体系建设。完善公共法律服务体系。严格食品、药品尤其是疫苗监管。开展安全生产专项整治。改革和加强应急管理，提高防灾减灾救灾能力，做好洪涝干旱、森林草原火灾、地质灾害、地震等防御和气象服务。深入推进国家安全体系和能力建设。加强网络、数据安全和个人信息保护。持续加强社会治安综合治理，严厉打击各类违法犯罪，开展扫黑除恶专项斗争，依法严惩黑恶势力及其“保护伞”，平安中国、法治中国建设取得新进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各位代表！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五年来，各级政府认真贯彻落实党中央全面从严治党战略部署，扎实开展“不忘初心、牢记使命”主题教育和党史学习教育，弘扬伟大建党精神，严格落实中央八项规定精神，持之以恒纠治“四风”，重点纠治形式主义、官僚主义，“三公”经费大幅压减。严厉惩处违规建设楼堂馆所和偷税逃税等行为。加强廉洁政府建设。政府工作人员自觉接受法律监督、监察监督和人民监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做好经济社会发展工作，没有捷径，实干为要。五年来，坚持以习近平新时代中国特色社会主义思想为指导，全面贯彻党的基本理论、基本路线、基本方略。坚持以经济建设为中心，着力推动高质量发展，事不畏难、行不避艰，要求以实干践行承诺，凝心聚力抓发展；以民之所望为施政所向，始终把人民放在心中最高位置，一切以人民利益为重，仔细倾听群众呼声，深入了解群众冷暖，着力解决人民群众急难愁盼问题；坚持实事求是，尊重客观规律，坚决反对空谈浮夸、做表面文章、搞形象工程甚至盲目蛮干；以改革的办法、锲而不舍的精神解难题、激活力，激励敢于担当，对庸政懒政者问责。尊重人民群众首创精神，充分调动各方面积极性，进而汇聚起推动发展的强大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各位代表！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过去五年，民族、宗教、侨务等工作创新完善。巩固和发展平等团结互助和谐的社会主义民族关系，民族团结进步呈现新气象。贯彻党的宗教工作基本方针，推进我国宗教中国化逐步深入。持续做好侨务工作，充分发挥海外侨胞在参与祖国现代化建设中的独特优势和重要作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坚持党对人民军队的绝对领导，国防和军队建设取得一系列新的重大成就、发生一系列重大变革。人民军队深入推进政治建军、改革强军、科技强军、人才强军、依法治军，深入推进练兵备战，现代化水平和实战能力显著提升。坚定灵活开展军事斗争，有效遂行边防斗争、海上维权、反恐维稳、抢险救灾、抗击疫情、维和护航等重大任务，提升国防动员能力，有力维护了国家主权、安全、发展利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港澳台工作取得新进展。依照宪法和基本法有效实施对特别行政区的全面管治权，制定实施香港特别行政区维护国家安全法，落实“爱国者治港”、“爱国者治澳”原则，推动香港进入由乱到治走向由治及兴的新阶段。深入推进粤港澳大湾区建设，支持港澳发展经济、改善民生、防控疫情、保持稳定。贯彻新时代党解决台湾问题的总体方略，坚决开展反分裂、反干涉重大斗争，持续推动两岸关系和平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中国特色大国外交全面推进。习近平主席等党和国家领导人出访多国，通过线上和线下方式出席二十国集团领导人峰会、亚太经合组织领导人非正式会议、联合国成立75周年系列高级别会议、东亚合作领导人系列会议、中欧领导人会晤等一系列重大外交活动。成功举办上合组织青岛峰会、金砖国家领导人会晤、全球发展高层对话会、“一带一路”国际合作高峰论坛、中非合作论坛北京峰会等多场重大主场外交活动。坚持敢于斗争、善于斗争，坚决维护我国主权、安全、发展利益。积极拓展全球伙伴关系，致力于建设开放型世界经济，维护多边主义，推动构建人类命运共同体。中国作为负责任大国，在推进国际抗疫合作、解决全球性挑战和地区热点问题上发挥了重要建设性作用，为促进世界和平与发展作出重要贡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各位代表！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这些年我国发展取得的成就，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在看到发展成就的同时，我们也清醒认识到，我国是一个发展中大国，仍处于社会主义初级阶段，发展不平衡不充分问题仍然突出。当前发展面临诸多困难挑战。外部环境不确定性加大，全球通胀仍处于高位，世界经济和贸易增长动能减弱，外部打压遏制不断上升。国内经济增长企稳向上基础尚需巩固，需求不足仍是突出矛盾，民间投资和民营企业预期不稳，不少中小微企业和个体工商户困难较大，稳就业任务艰巨，一些基层财政收支矛盾较大。房地产市场风险隐患较多，一些中小金融机构风险暴露。发展仍有不少体制机制障碍。科技创新能力还不强。生态环境保护任重道远。防灾减灾等城乡基础设施仍有明显薄弱环节。一些民生领域存在不少短板。形式主义、官僚主义现象仍较突出，有的地方政策执行“一刀切”、层层加码，有的干部不作为、乱作为、简单化，存在脱离实际、违背群众意愿、漠视群众合法权益等问题。一些领域、行业、地方腐败现象时有发生。人民群众对政府工作还有一些意见和建议应予重视。要直面问题挑战，尽心竭力改进政府工作，不负人民重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w:t>
      </w:r>
      <w:r>
        <w:rPr>
          <w:rFonts w:hint="eastAsia" w:ascii="仿宋" w:hAnsi="仿宋" w:eastAsia="仿宋" w:cs="仿宋"/>
          <w:b/>
          <w:i w:val="0"/>
          <w:color w:val="333333"/>
          <w:sz w:val="32"/>
          <w:szCs w:val="32"/>
          <w:u w:val="none"/>
        </w:rPr>
        <w:t>二、对今年政府工作的建议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今年是全面贯彻党的二十大精神的开局之年。做好政府工作，要在以习近平同志为核心的党中央坚强领导下，以习近平新时代中国特色社会主义思想为指导，全面贯彻落实党的二十大精神，按照中央经济工作会议部署，扎实推进中国式现代化，坚持稳中求进工作总基调，完整、准确、全面贯彻新发展理念，加快构建新发展格局，着力推动高质量发展，更好统筹国内国际两个大局，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持续改善民生，保持社会大局稳定，为全面建设社会主义现代化国家开好局起好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今年发展主要预期目标是：国内生产总值增长5%左右；城镇新增就业1200万人左右，城镇调查失业率5.5%左右；居民消费价格涨幅3%左右；居民收入增长与经济增长基本同步；进出口促稳提质，国际收支基本平衡；粮食产量保持在1.3万亿斤以上；单位国内生产总值能耗和主要污染物排放量继续下降，重点控制化石能源消费，生态环境质量稳定改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要坚持稳字当头、稳中求进，面对战略机遇和风险挑战并存、不确定难预料因素增多，保持政策连续性稳定性针对性，加强各类政策协调配合，形成共促高质量发展合力。积极的财政政策要加力提效。赤字率拟按3%安排。完善税费优惠政策，对现行减税降费、退税缓税等措施，该延续的延续，该优化的优化。做好基层“三保”工作。稳健的货币政策要精准有力。保持广义货币供应量和社会融资规模增速同名义经济增速基本匹配，支持实体经济发展。保持人民币汇率在合理均衡水平上的基本稳定。产业政策要发展和安全并举。促进传统产业改造升级，培育壮大战略性新兴产业，着力补强产业链薄弱环节。科技政策要聚焦自立自强，也要坚持国际合作。完善新型举国体制，发挥好政府在关键核心技术攻关中的组织作用，支持和突出企业科技创新主体地位，加大科技人才及团队培养支持力度。社会政策要兜牢民生底线。落实落细就业优先政策，把促进青年特别是高校毕业生就业工作摆在更加突出的位置，切实保障好基本民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当前我国新冠疫情防控已进入“乙类乙管”常态化防控阶段，要在对疫情防控工作进行全面科学总结的基础上，更加科学、精准、高效做好防控工作，围绕保健康、防重症，重点做好老年人、儿童、患基础性疾病群体的疫情防控和医疗救治，提升疫情监测水平，推进疫苗迭代升级和新药研制，切实保障群众就医用药需求，守护好人民生命安全和身体健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今年是政府换届之年，前面报告的经济社会发展多领域、各方面工作，今后还需不懈努力，下面简述几项重点。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一）着力扩大国内需求。把恢复和扩大消费摆在优先位置。多渠道增加城乡居民收入。稳定汽车等大宗消费，推动餐饮、文化、旅游、体育等生活服务消费恢复。政府投资和政策激励要有效带动全社会投资，今年拟安排地方政府专项债券3.8万亿元，加快实施“十四五”重大工程，实施城市更新行动，促进区域优势互补、各展其长，继续加大对受疫情冲击较严重地区经济社会发展的支持力度，鼓励和吸引更多民间资本参与国家重大工程和补短板项目建设，激发民间投资活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二）加快建设现代化产业体系。强化科技创新对产业发展的支撑。持续开展产业强链补链行动，围绕制造业重点产业链，集中优质资源合力推进关键核心技术攻关，充分激发创新活力。加强重要能源、矿产资源国内勘探开发和增储上产。加快传统产业和中小企业数字化转型，着力提升高端化、智能化、绿色化水平。加快前沿技术研发和应用推广，促进科技成果转化。建设高效顺畅的物流体系。大力发展数字经济，提升常态化监管水平，支持平台经济发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三）切实落实“两个毫不动摇”。深化国资国企改革，提高国企核心竞争力。坚持分类改革方向，处理好国企经济责任和社会责任关系，完善中国特色国有企业现代公司治理。依法保护民营企业产权和企业家权益，完善相关政策，鼓励支持民营经济和民营企业发展壮大，支持中小微企业和个体工商户发展，构建亲清政商关系，为各类所有制企业创造公平竞争、竞相发展的环境，用真招实策稳定市场预期和提振市场信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四）更大力度吸引和利用外资。扩大市场准入，加大现代服务业领域开放力度。落实好外资企业国民待遇。积极推动加入全面与进步跨太平洋伙伴关系协定（CPTPP）等高标准经贸协议，主动对照相关规则、规制、管理、标准，稳步扩大制度型开放。优化区域开放布局，实施自由贸易试验区提升战略，发挥好海南自由贸易港、各类开发区等开放平台的先行先试作用。继续发挥进出口对经济的支撑作用。做好外资企业服务工作，推动外资标志性项目落地建设。开放的中国大市场，一定能为各国企业在华发展提供更多机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五）有效防范化解重大经济金融风险。深化金融体制改革，完善金融监管，压实各方责任，防止形成区域性、系统性金融风险。有效防范化解优质头部房企风险，改善资产负债状况，防止无序扩张，促进房地产业平稳发展。防范化解地方政府债务风险，优化债务期限结构，降低利息负担，遏制增量、化解存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六）稳定粮食生产和推进乡村振兴。一体推进农业现代化和农村现代化。稳定粮食播种面积，抓好油料生产，实施新一轮千亿斤粮食产能提升行动。完善农资保供稳价应对机制。加强耕地保护，加强农田水利和高标准农田等基础设施建设。深入实施种业振兴行动。强化农业科技和装备支撑。健全种粮农民收益保障机制和主产区利益补偿机制。树立大食物观，构建多元化食物供给体系。发展乡村特色产业，拓宽农民增收致富渠道。巩固拓展脱贫攻坚成果，坚决防止出现规模性返贫。推进乡村建设行动。国家关于土地承包期再延长30年的政策，务必通过细致工作扎实落实到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七）推动发展方式绿色转型。深入推进环境污染防治。加强流域综合治理，加强城乡环境基础设施建设，持续实施重要生态系统保护和修复重大工程。推进能源清洁高效利用和技术研发，加快建设新型能源体系，提升可再生能源占比。完善支持绿色发展的政策和金融工具，发展循环经济，推进资源节约集约利用，推动重点领域节能降碳减污，持续打好蓝天、碧水、净土保卫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八）保障基本民生和发展社会事业。加强住房保障体系建设，支持刚性和改善性住房需求，解决好新市民、青年人等住房问题，加快推进老旧小区和危旧房改造。加快建设高质量教育体系，推进义务教育优质均衡发展和城乡一体化，推进学前教育、特殊教育普惠发展，大力发展职业教育，推进高等教育创新，支持中西部地区高校发展，深化体教融合。深化医药卫生体制改革，促进医保、医疗、医药协同发展和治理。推动优质医疗资源扩容下沉和区域均衡布局。实施中医药振兴发展重大工程。重视心理健康和精神卫生。实施积极应对人口老龄化国家战略，加强养老服务保障，完善生育支持政策体系。保障妇女、儿童、老年人、残疾人合法权益。做好军人军属、退役军人和其他优抚对象优待抚恤工作。繁荣发展文化事业和产业。提升社会治理效能。强化安全生产监管和防灾减灾救灾。全面贯彻总体国家安全观，建设更高水平的平安中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进一步加强政府自身建设，持续转变政府职能，搞好机构改革，扎实推进法治政府、创新政府、廉洁政府和服务型政府建设，发扬实干精神，大兴调查研究之风，提高行政效率和公信力。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各位代表！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我们要以铸牢中华民族共同体意识为主线，坚持和完善民族区域自治制度，促进各民族共同团结奋斗、共同繁荣发展。坚持党的宗教工作基本方针，坚持我国宗教中国化方向，积极引导宗教与社会主义社会相适应。加强和改进侨务工作，汇聚起海内外中华儿女同心奋斗、共创辉煌的强大力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我们要深入贯彻习近平强军思想，贯彻新时代军事战略方针，围绕实现建军一百年奋斗目标，边斗争、边备战、边建设，完成好党和人民赋予的各项任务。全面加强练兵备战，创新军事战略指导，大抓实战化军事训练，统筹抓好各方向各领域军事斗争。全面加强军事治理，巩固拓展国防和军队改革成果，加强重大任务战建备统筹，加快实施国防发展重大工程。巩固提高一体化国家战略体系和能力，加强国防科技工业能力建设。深化全民国防教育。各级政府要大力支持国防和军队建设，深入开展“双拥”活动，合力谱写军政军民团结新篇章。</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我们要全面准确、坚定不移贯彻“一国两制”、“港人治港”、“澳人治澳”、高度自治的方针，坚持依法治港治澳，维护宪法和基本法确定的特别行政区宪制秩序，落实“爱国者治港”、“爱国者治澳”原则。支持港澳发展经济、改善民生，保持香港、澳门长期繁荣稳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我们要坚持贯彻新时代党解决台湾问题的总体方略，坚持一个中国原则和“九二共识”，坚定反“独”促统，推动两岸关系和平发展，推进祖国和平统一进程。两岸同胞血脉相连，要促进两岸经济文化交流合作，完善增进台湾同胞福祉的制度和政策，推动两岸共同弘扬中华文化，同心共创复兴伟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我们要坚定奉行独立自主的和平外交政策，坚定不移走和平发展道路，坚持在和平共处五项原则基础上同各国发展友好合作，坚定奉行互利共赢的开放战略，始终做世界和平的建设者、全球发展的贡献者、国际秩序的维护者。中国愿同国际社会一道落实全球发展倡议、全球安全倡议，弘扬全人类共同价值，携手推动构建人类命运共同体，维护世界和平和地区稳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各位代表！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奋斗铸就辉煌，实干赢得未来。我们要更加紧密地团结在以习近平同志为核心的党中央周围，高举中国特色社会主义伟大旗帜，以习近平新时代中国特色社会主义思想为指导，全面贯彻党的二十大精神，砥砺前行，推动经济社会持续健康发展，为全面建设社会主义现代化国家、全面推进中华民族伟大复兴，为把我国建设成为富强民主文明和谐美丽的社会主义现代化强国不懈奋斗！</w:t>
      </w: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keepNext w:val="0"/>
        <w:keepLines w:val="0"/>
        <w:pageBreakBefore w:val="0"/>
        <w:kinsoku/>
        <w:wordWrap/>
        <w:overflowPunct/>
        <w:topLinePunct w:val="0"/>
        <w:autoSpaceDE/>
        <w:autoSpaceDN/>
        <w:bidi w:val="0"/>
        <w:adjustRightInd w:val="0"/>
        <w:snapToGrid w:val="0"/>
        <w:spacing w:line="560" w:lineRule="exact"/>
        <w:jc w:val="left"/>
        <w:outlineLvl w:val="0"/>
        <w:rPr>
          <w:rFonts w:hint="eastAsia" w:ascii="Times New Roman" w:hAnsi="Times New Roman" w:eastAsia="方正小标宋简体" w:cs="宋体"/>
          <w:color w:val="auto"/>
          <w:kern w:val="44"/>
          <w:sz w:val="32"/>
          <w:szCs w:val="32"/>
          <w:highlight w:val="none"/>
          <w:u w:val="none"/>
          <w:lang w:val="en-US" w:eastAsia="zh-CN" w:bidi="ar"/>
        </w:rPr>
      </w:pPr>
      <w:r>
        <w:rPr>
          <w:rFonts w:hint="eastAsia" w:ascii="Times New Roman" w:hAnsi="Times New Roman" w:eastAsia="方正小标宋简体" w:cs="宋体"/>
          <w:color w:val="auto"/>
          <w:kern w:val="44"/>
          <w:sz w:val="32"/>
          <w:szCs w:val="32"/>
          <w:highlight w:val="none"/>
          <w:u w:val="none"/>
          <w:lang w:val="en-US" w:eastAsia="zh-CN" w:bidi="ar"/>
        </w:rPr>
        <w:t>6.中办印发《关于在全党大兴调查研究的工作方案》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人民日报 》（ 2023年03月20日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仿宋" w:hAnsi="仿宋" w:eastAsia="仿宋" w:cs="仿宋"/>
          <w:kern w:val="2"/>
          <w:sz w:val="32"/>
          <w:szCs w:val="32"/>
          <w:u w:val="none"/>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新华社北京3月19日电  近日，中共中央办公厅印发了《关于在全党大兴调查研究的工作方案》，并发出通知，要求各地区各部门结合实际认真贯彻落实。</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《关于在全党大兴调查研究的工作方案》全文如下。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一、重要意义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当前，我国发展面临新的战略机遇、新的战略任务、新的战略阶段、新的战略要求、新的战略环境。世界百年未有之大变局加速演进，不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时刻保持解决大党独有难题的清醒和坚定、回答“六个如何始终”的现实需要，是转变工作作风、密切联系群众、提高履职本领、强化责任担当的有效途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二、总体要求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为完成新时代新征程的使命任务服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有二是二，既报喜又报忧，不唯书、不唯上、只唯实。必须坚持问题导向，增强问题意识，敢于正视问题、善于发现问题，以解决问题为根本目的，真正把情况摸清、把问题找准、把对策提实，不断提出真正解决问题的新思路新办法。必须坚持攻坚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三、调研内容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在全党大兴调查研究，要紧紧围绕全面贯彻落实党的二十大精神、推动高质量发展，直奔问题去，实行问题大梳理、难题大排查，着力打通贯彻执行中的堵点淤点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12个方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1.贯彻落实党中央决策部署和习近平总书记对本地区本部门本领域工作重要指示批示精神的主要情况和重点问题。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2.贯彻新发展理念、构建新发展格局、推动高质量发展中的重大问题，推进高水平科技自立自强，扩大国内需求、深化供给侧结构性改革、建设现代化产业体系、落实“两个毫不动摇”、吸引和利用外资，全面推进乡村振兴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3.统筹发展和安全，确保粮食、能源、产业链供应链、生产、食品药品、公共卫生等安全，防范化解重大经济金融风险中的主要情况和重点问题。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4.全面深化改革开放中的重大问题，重要领域和关键环节改革、推进高水平对外开放中的主要情况和重点问题。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5.全面依法治国中的重大问题，完善中国特色社会主义法律体系、推进依法行政、严格公正司法、建设法治社会等主要情况和重点问题。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6.意识形态领域面临的挑战，推进文化自信自强、建设社会主义文化强国和新闻舆论引导、网络综合治理中的主要情况和重点问题。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7.推进共同富裕、增进民生福祉中的重大问题，巩固拓展脱贫攻坚成果、缩小城乡区域发展差距和收入分配差距的主要情况和重点问题。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8.人民最关心最直接最现实的利益问题，特别是就业、教育、医疗、托育、养老、住房等群众急难愁盼的具体问题。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9.牢固树立和践行绿水青山就是金山银山理念方面的差距和不足，推进美丽中国建设、保护生态环境和维护生态安全中的主要情况和重点问题。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10.维护社会稳定中的重大问题，防灾减灾救灾和重大突发公共事件处置保障短板，处理新形势下人民内部矛盾和强化社会治安整体防控的主要情况和重点问题。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11.全面从严治党中的重大问题，落实党的领导弱化虚化淡化、党组织政治功能和组织功能不够强，干事创业精气神不足、不担当不作为，应对“黑天鹅”、“灰犀牛”事件和防范化解风险能力不强，形式主义、官僚主义，特权思想和特权行为等重点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12.本地区本部门本单位长期未解决的老大难问题。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四、方法步骤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在全党大兴调查研究，分为6个步骤。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提高认识。各级党委（党组）要通过理论学习中心组学习、读书班等，组织党员、干部深入学习领会习近平总书记关于调查研究的重要论述，学习习近平总书记关于本地区本部门本领域的重要讲话和重要指示批示精神，继承和发扬老一辈革命家深入基层调查研究的优良作风，增强做好调查研究的思想自觉、政治自觉、行动自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制定方案。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开展调研。县处级以上领导班子成员每人牵头1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一反三采取改进措施。要加强督查调研，检查工作是否真正落实、问题是否真正解决。</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深化研究。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顽瘴痼疾等，要研究透彻、找准根源和症结。在此基础上，领导班子交流调研情况，研究对策措施，形成解决问题、促进工作的思路办法和政策举措，确保每个问题都有务实管用的破解之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解决问题。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六）督查回访。各级党委（党组）要建立调研成果转化运用清单，加强对调研课题完成情况、问题解决情况的督查督办和跟踪问效；领导干部要定期对调研对象和解决问题等事项进行回访，注意发现和解决新的问题。</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五、工作要求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加强组织领导。各级党委（党组）要高度重视调查研究工作，作出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以上率下、作出示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严明工作纪律。调查研究要严格执行中央八项规定及其实施细则精神，轻车简从，厉行节约，不搞层层陪同。要采取“四不两直”方式，多到困难多、群众意见集中、工作打不开局面的地方和单位开展调研，防止嫌贫爱富式调研。要加强调研统筹，避免扎堆调研、多头调研、重复调研，不增加基层负担。要力戒形式主义、官僚主义，不搞作秀式、盆景式和蜻蜓点水式调研，防止走过场、不深入。要在调查的基础上深化研究，防止调查多研究少、情况多分析少，提出的对策建议不解决实际问题。对违反作风建设要求和廉洁自律规定的，要依规依纪严肃问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坚持统筹推进。对表现在基层、根子在上面的问题，对涉及多个地区或部门单位的问题，上下协同、整体推动解决。统筹当前和长远，发现总结调查研究的有效做法和成功经验，完善调查研究的长效机制，使调查研究成为党员、干部的经常性工作，在全党蔚然成风、产生实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加大宣传力度。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p>
    <w:p>
      <w:pPr>
        <w:pStyle w:val="2"/>
        <w:keepNext w:val="0"/>
        <w:keepLines w:val="0"/>
        <w:pageBreakBefore w:val="0"/>
        <w:tabs>
          <w:tab w:val="left" w:pos="5522"/>
        </w:tabs>
        <w:kinsoku/>
        <w:wordWrap/>
        <w:overflowPunct/>
        <w:topLinePunct w:val="0"/>
        <w:autoSpaceDE/>
        <w:autoSpaceDN/>
        <w:bidi w:val="0"/>
        <w:adjustRightInd/>
        <w:snapToGrid/>
        <w:spacing w:after="0" w:line="560" w:lineRule="exact"/>
        <w:ind w:left="0" w:leftChars="0" w:firstLine="0" w:firstLineChars="0"/>
        <w:rPr>
          <w:rFonts w:hint="default" w:ascii="仿宋" w:hAnsi="仿宋" w:eastAsia="仿宋" w:cs="仿宋"/>
          <w:kern w:val="2"/>
          <w:sz w:val="32"/>
          <w:szCs w:val="32"/>
          <w:u w:val="none"/>
          <w:lang w:val="en-US" w:eastAsia="zh-CN" w:bidi="ar-SA"/>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pStyle w:val="2"/>
        <w:keepNext w:val="0"/>
        <w:keepLines w:val="0"/>
        <w:pageBreakBefore w:val="0"/>
        <w:kinsoku/>
        <w:wordWrap/>
        <w:overflowPunct/>
        <w:topLinePunct w:val="0"/>
        <w:autoSpaceDE/>
        <w:autoSpaceDN/>
        <w:bidi w:val="0"/>
        <w:spacing w:line="560" w:lineRule="exact"/>
        <w:rPr>
          <w:rFonts w:hint="eastAsia" w:ascii="仿宋" w:hAnsi="仿宋" w:eastAsia="仿宋" w:cs="仿宋"/>
          <w:sz w:val="32"/>
          <w:szCs w:val="32"/>
          <w:u w:val="none"/>
        </w:rPr>
      </w:pPr>
    </w:p>
    <w:p>
      <w:pPr>
        <w:keepNext w:val="0"/>
        <w:keepLines w:val="0"/>
        <w:pageBreakBefore w:val="0"/>
        <w:kinsoku/>
        <w:wordWrap/>
        <w:overflowPunct/>
        <w:topLinePunct w:val="0"/>
        <w:autoSpaceDE/>
        <w:autoSpaceDN/>
        <w:bidi w:val="0"/>
        <w:adjustRightInd w:val="0"/>
        <w:snapToGrid w:val="0"/>
        <w:spacing w:line="560" w:lineRule="exact"/>
        <w:jc w:val="center"/>
        <w:outlineLvl w:val="0"/>
        <w:rPr>
          <w:rFonts w:hint="eastAsia" w:ascii="Times New Roman" w:hAnsi="Times New Roman" w:eastAsia="方正小标宋简体" w:cs="宋体"/>
          <w:color w:val="auto"/>
          <w:kern w:val="44"/>
          <w:sz w:val="32"/>
          <w:szCs w:val="32"/>
          <w:highlight w:val="none"/>
          <w:u w:val="none"/>
          <w:lang w:val="en-US" w:eastAsia="zh-CN" w:bidi="ar"/>
        </w:rPr>
      </w:pPr>
      <w:r>
        <w:rPr>
          <w:rFonts w:hint="eastAsia" w:ascii="Times New Roman" w:hAnsi="Times New Roman" w:eastAsia="方正小标宋简体" w:cs="宋体"/>
          <w:color w:val="auto"/>
          <w:kern w:val="44"/>
          <w:sz w:val="32"/>
          <w:szCs w:val="32"/>
          <w:highlight w:val="none"/>
          <w:u w:val="none"/>
          <w:lang w:val="en-US" w:eastAsia="zh-CN" w:bidi="ar"/>
        </w:rPr>
        <w:t>7.中共中央印发《中国共产党处分违纪党员批准权限和程序规定》</w:t>
      </w:r>
    </w:p>
    <w:p>
      <w:pPr>
        <w:keepNext w:val="0"/>
        <w:keepLines w:val="0"/>
        <w:pageBreakBefore w:val="0"/>
        <w:kinsoku/>
        <w:wordWrap/>
        <w:overflowPunct/>
        <w:topLinePunct w:val="0"/>
        <w:autoSpaceDE/>
        <w:autoSpaceDN/>
        <w:bidi w:val="0"/>
        <w:adjustRightInd w:val="0"/>
        <w:snapToGrid w:val="0"/>
        <w:spacing w:line="560" w:lineRule="exact"/>
        <w:jc w:val="center"/>
        <w:outlineLvl w:val="9"/>
        <w:rPr>
          <w:rFonts w:hint="eastAsia" w:ascii="仿宋" w:hAnsi="仿宋" w:eastAsia="仿宋" w:cs="仿宋"/>
          <w:kern w:val="2"/>
          <w:sz w:val="32"/>
          <w:szCs w:val="32"/>
          <w:u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jc w:val="center"/>
        <w:outlineLvl w:val="0"/>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人民日报 》（ 2023年01月18日   第 01 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新华社北京1月17日电  近日，中共中央印发了《中国共产党处分违纪党员批准权限和程序规定》（以下简称《规定》），并发出通知，要求各地区各部门认真遵照执行。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通知指出，《规定》以习近平新时代中国特色社会主义思想为指导，以党章为根本依据，总结吸收党的十八大以来管党治党实践创新和制度创新成果，对党的各级各类组织处分违纪党员批准权限和程序作出系统规范和明确规定，充分彰显了我们党勇于自我革命的鲜明品格，对于深入贯彻全面从严治党战略方针、深入推进依规治党，具有重要意义。</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通知要求，各级党委（党组）要把坚决做到“两个维护”作为最高政治原则和根本政治责任，全面加强党的纪律建设，坚定不移推进党风廉政建设和反腐败斗争，以对党的事业和党员、干部高度负责的态度，严格遵循、维护和执行党的纪律。要抓实抓好《规定》的学习宣传和贯彻落实，将《规定》纳入党委（党组）理论学习中心组学习内容，带头严格执行《规定》。各级纪律检查机关要认真履行党章和《规定》明确的任务职责，严格按照《规定》行使纪律处分权。要按照与党纪处分批准权限、干部人事管理权限基本对应的原则，完善监察机关给予政务处分的批准权限和程序，确保执纪执法贯通衔接，充分发挥监督保障执行、促进完善发展作用。各地区各部门在执行《规定》中的重要情况和建议，要及时报告党中央。</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《规定》主要内容如下。</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中国共产党处分违纪党员批准权限和程序规定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（2022年9月1日中共中央政治局常委会会议审议批准  2022年9月22日中共中央发布）</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第一章  总  则</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第一条  为了规范处分违纪党员批准权限和程序，根据《中国共产党章程》和有关党内法规，制定本规定。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第二条  坚持以习近平新时代中国特色社会主义思想为指导，坚持和加强党的全面领导，坚持党要管党，在党中央集中统一领导下，深入贯彻全面从严治党战略方针，严格按照处分违纪党员批准权限和程序实施党纪处分。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第三条  对违纪党员实施党纪处分实行分级负责制。处分违纪党员批准权限主要依据党员组织隶属关系和干部人事管理权限确定，其中系党员干部的，除本规定和有关党内法规规定的特殊情形外，优先依据干部人事管理权限确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第四条  对违纪党员实施党纪处分应当坚持党纪面前一律平等、实事求是、民主集中制和惩前毖后、治病救人原则，做到事实清楚、证据确凿、定性准确、处理恰当、手续完备、程序合规。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对违纪党员实施党纪处分应当按照规定程序，经党组织（含纪律检查机关，下同）集体讨论决定，不允许任何个人或者少数人擅自决定和批准。上级党组织对违纪党员作出的处理决定，下级党组织必须执行。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第五条  党纪处分决定自有处分批准权的党组织集体讨论决定之日起生效。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第二章  处分批准权限和程序一般规定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第六条  除本规定和有关党内法规另有规定外，给予各级党委管理的党员警告、严重警告处分，可以由同级纪委审查批准；给予其撤销党内职务、留党察看或者开除党籍处分，须经同级纪委审查同意后报请这一级党委审议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第七条  给予担任两个以上职务（不含党代会代表）的违纪党员党纪处分，按照其中属于最高一级党组织管理的职务履行处分审批程序。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违纪党员所担任的职务中属于最高一级党组织管理的职务有两个以上的，区别下列情形履行处分审批程序：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（一）有一个职务系党的中央或者地方委员会（以下简称地方党委）委员、候补委员的，应当按照该职务对应的处分批准权限履行处分审批程序；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（二）除前项所列情形外，有一个职务系党的中央或者地方纪律检查委员会（以下简称地方纪委）委员的，应当按照该职务对应的处分批准权限履行处分审批程序；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（三）除前两项所列情形外，应当按照违纪党员所担任的最高一级党组织管理的多个职务分别对应的处分批准权限就高履行处分审批程序。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地方党委委员、候补委员或者地方纪委委员在接受审查期间，其所在的地方党委不得免去其上述职务，也不得接受其辞去上述职务的请求。</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第八条  违纪党员系地方党委委员、候补委员或者地方纪委委员，同时担任上级党组织管理的职务的，由该上级党组织的同级纪委依照本规定履行处分审批程序。其中，受到撤销党内职务、留党察看或者开除党籍处分的，地方党委、纪委无需履行本规定第十八条第三款规定的追认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第九条  对党员所作处分，需要变更或者撤销的，由原批准处分决定的党组织或者有处分批准权的党组织审批。原批准处分决定的党组织已撤销的，可以由继续行使其职权的党组织办理。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第十条  上级纪委提级审查的，经审理形成处置意见后，可以交由下级纪委履行处分审批程序；也可以经上级纪委常委会审议同意后，直接作出党纪处分决定，其中上级纪委拟给予提级审查的下级地方党委委员、候补委员撤销党内职务、留党察看或者开除党籍处分的，应当报请同级党委常委会审议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上级纪委指定下级纪委审查的，被指定的下级纪委常委会审议后，按照程序将案件材料和处理意见转有监督执纪权限的纪委经审理后履行处分审批程序。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第十一条  对违纪党员免予党纪处分的，按照给予其警告处分的批准权限履行处分审批程序。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第十二条  对于应当受到撤销党内职务处分，但是本人没有担任党内职务的违纪党员，应当给予其严重警告处分，并按照给予其撤销党内职务处分的批准权限履行处分审批程序。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第十三条  对于各级纪委立案审查的党员，需要给予党纪处分的，除特殊情况外，一般由负责审查的纪委经审理后形成关于违纪事实和处分意见的通报材料，经下一级党组织交由被审查人所在党支部党员大会讨论形成决议，并由该下一级党组织报负责审查的纪委履行处分审批程序。被审查人所在党支部系负责审查的纪委下一级党组织的，由负责审查的纪委将关于违纪事实和处分意见的通报材料交由该党支部党员大会讨论形成决议后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对各级纪委监委派出的纪检监察工作委员会（含纪律检查工作委员会，下同）以及未设立纪委的党的基层委员会审查的党员给予党纪处分的，参照前款规定履行处分审批程序。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被审查人所在党支部党员大会讨论给予其党纪处分时，实际到会有表决权的党员人数必须超过全部应到会有表决权的党员的半数，且表决时必须经过全部应到会有表决权的党员过半数赞成，方可形成决议；被审查人有权参加和进行申辩。被审查人应当在党支部党员大会决议上签写意见；拒不签写意见或者因其他原因不能签写意见的，支部委员会（含未设支部委员会的支部书记）应当在决议上注明。</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处分决定所依据的事实材料必须同被审查人本人见面，听取其陈述和申辩，并如实记录、及时核实，合理的予以采纳；不予采纳的，应当说明理由。该事实材料应当由被审查人签写意见，对签写不同意见或者拒不签写意见的，应当作出说明或者注明情况。</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第十四条  有下列特殊情况之一，县级以上各级党委和纪委可以直接决定给予违纪党员党纪处分：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（一）案情涉密、敏感的；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（二）违纪案件跨地区跨部门跨单位的；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（三）违纪党员系县级以上各级党委管理的党员干部的；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（四）违纪党员所在的基层党组织无法正常履行职责、不正确履行职责或者其负责人同违纪问题有关联的；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（五）违纪党员所在党支部党员大会经讨论无法及时形成决议，或者因可到会有表决权的党员人数未超过全部应到会有表决权的党员半数，不能及时召开党支部党员大会讨论表决的；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（六）县级以上纪委提级审查下级党委（党组）管理的党员的；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（七）党章和有关党内法规规定的其他情况。</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除本规定第二十九条、第三十一条、第三十八条第三款另有规定外，给予违纪党员开除党籍处分，须经县级以上纪委审查批准，或者经县级以上纪委审查同意后报请有处分批准权的党组织依照本规定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第十五条  各级纪委拟在给予同级党委管理的党员干部党纪处分的同时，建议给予其组织处理的，应当依照本规定履行处分审批程序，并将组织处理建议通报同级党委组织部门依照规定办理；必要时也可以在书面征求同级党委组织部门意见后，一并报请同级党委审议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第十六条  县级以上纪委依照本规定第十四条第一款规定直接决定给予其审查的党员党纪处分，须报请同级党委或者上级党组织审批的，应当在报批前以纪委办公厅（室）名义书面征求同级党委组织部门和被审查人所在党委（党组）意见。</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被审查人所在党组织系接受归口领导、管理，或者接受归口指导、协调或者监督的单位党组织的，前款规定中的被审查人所在党委（党组）是指归口领导、管理单位，或者负有指导、协调或者监督职责的单位党组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党组（党委）、党的工作机关、中央和地方党委直属事业单位、由党的工作机关管理的机关以及所在机关党的基层委员会（以下简称机关党委）、机关党的基层纪律检查委员会（以下简称机关纪委）在作出党纪处分决定前，应当征求派驻纪检监察组意见。</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第十七条  给予违纪党员党纪处分，依照本规定应当由党委审批的，须经本级纪委常委会（未设常委会的应当召开纪委全体会议，下同）审议通过后于15日内报请这一级党委审议；依照本规定应当由上级党组织审批的，还须经同级党委审议同意后，按照程序于15日内呈报上一级纪委审查批准；党委应当及时审议处分事项，对处分意见分歧较大且确有必要的，也可以先通过召开书记专题会议等形式进行酝酿。</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党员严重违纪涉嫌犯罪的，原则上先作出党纪处分决定，再移送司法机关依法处理。案情疑难、复杂，对事实证据、行为性质的认定把握困难或者有重大争议，可能影响党纪处理结果的，或者因留置期限即将届满等原因急需移送司法机关依法处理的，负责审查的纪委监委经本级纪委常委会审议同意后，可以先行移送司法机关，并及时报上一级纪委监委备案；其中给予其党纪处分须报请同级党委或者上级党组织审批的，应当在移送司法机关之日起15日内报请同级党委审议，至迟不晚于司法机关决定提起公诉或者作出不起诉决定前。</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给予地方党委委员、候补委员和地方纪委委员、监委委员党纪处分，依照本规定须呈报上级党组织审批的，在报请同级党委审议前，有监督执纪权限的纪委常委会审议通过后，应当于3日内形成书面情况报告与上级纪委沟通；上级纪委应当基于该书面情况报告载明的违纪事实和处分意见进行审核，并及时反馈处理意见。上级纪委受理该案件后，应当认真审核，不受此前已反馈处理意见的限制。</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第十八条  经中央委员会全体会议应到会委员三分之二以上的多数赞成，可以对中央政治局在中央委员会全体会议闭会期间先行作出的给予中央委员会委员、候补委员撤销党内职务、留党察看或者开除党籍处分的处理决定予以追认。</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经中央纪委全体会议应到会委员三分之二以上的多数赞成，可以对中央纪委常委会在中央纪委全体会议闭会期间先行作出的给予中央纪委委员撤销党内职务、留党察看或者开除党籍处分的处理决定予以追认。</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地方各级党委、纪委全体会议对本级地方党委、纪委常委会在全体会议闭会期间先行作出的给予本级党委委员、候补委员和纪委委员撤销党内职务、留党察看或者开除党籍处分的处理决定予以追认，分别参照前两款规定的程序执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追认须待对前三款所涉人员作出党纪处分决定后，在下一次相应中央委员会、中央纪委全体会议或者地方党委、纪委全体会议上进行。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前三款所涉人员严重触犯刑律的，必须开除党籍。中央政治局、地方党委常委会分别依照本规定第二十四条第二项、第二十七条第一款第二项规定作出的给予严重触犯刑律的中央委员会委员、候补委员和地方党委委员、候补委员开除党籍处分的处理决定，无须履行本条第一款、第三款规定的追认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第十九条  各级纪委依照本规定呈报同级党委或者上级党组织批准后作出党纪处分决定的，处分决定执行完毕后，应当按照程序于每季度首月15日前将上一季度的处分决定执行（含处分宣布）情况汇总呈报同级党委或者上级党组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第二十条  党组织批准的下列处分事项，应当在作出党纪处分决定后按照下列要求予以备案：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（一）中央纪委批准本规定第三十四条第一项至第三项所涉处分事项后，由中央纪委报党中央备案；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（二）省、自治区、直辖市党委（以下简称省级党委）批准本规定第二十七条第三款所涉处分事项后，由省、自治区、直辖市纪委（以下简称省级纪委）报中央纪委备案；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（三）地方党委批准本规定第二十七条第一款第一项所涉处分事项后，被处分人系按照规定需要报上一级党委备案的在职正职领导干部的，由地方纪委报上一级纪委备案；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（四）地方纪委批准本规定第三十七条第一款第一项至第七项、第三款所涉处分事项后，由地方纪委报同级党委备案；其中本规定第三十七条第一款第三项所涉处分事项还须同时报上一级纪委备案；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党的基层纪律检查委员会（以下简称基层纪委）、党的街道纪检监察工作委员会等审查批准本规定第三十八条第一款、第二款所涉处分事项后，相应报具有审批预备党员权限的同级党的基层委员会（以下简称基层党委）、党的街道工作委员会等备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六）机关党委、机关纪委分别审议批准本规定第三十条第二款、第三十九条所涉处分事项后，相应报党组（党委）、党的工作机关备案；机关纪委审查批准本规定第三十九条所涉处分事项后，还须报机关党委备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前款规定中的备案工作，应当由负责报备的党组织于每季度首月15日前，将上一季度对在职党员干部已作出党纪处分决定的案件汇总报相应党组织。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第二十一条  受到留党察看处分的党员，确有悔改表现的，留党察看期满后，由其所在党支部党员大会讨论形成决议，经基层党委审议后层报原作出党纪处分决定的党组织的下一级党委（党组）审议批准。该党委（党组）同意按期恢复党员权利的，作出恢复党员权利决定并抄告原作出党纪处分决定的党组织。基层党委批准给予党员留党察看处分的，恢复党员权利由该基层党委批准，恢复党员权利决定由基层党委或者基层纪委下达。</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受到留党察看处分一年的党员，留党察看期满后，原作出党纪处分决定的党组织的下一级党委（党组）审核认为其仍不符合恢复党员权利条件的，经报原作出党纪处分决定的党组织批准，作出延长一年留党察看期限的决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党员在留党察看期间，坚持不改或者又发现其他应当受到党纪处分的违纪行为的，应当开除党籍，并由有监督执纪权限的纪律检查机关履行处分审批程序。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受到留党察看处分的党员在留党察看期间转移党员组织关系的，由接收其党员组织关系的党组织分别参照本条第一款至第三款规定恢复其党员权利、延长一年留党察看期限或者给予其开除党籍处分，并抄告原作出党纪处分决定的党组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受到留党察看处分的党员所在党支部有本规定第十四条第一款第五项情形的，可以由基层党委直接审议后，依照本条第一款规定程序办理。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受到留党察看处分的党员组织关系隶属于党的工作委员会的，参照前五款规定执行。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第二十二条  党员经过留党察看，恢复党员权利后，又发现其在留党察看期间实施了新的应当受到党纪处分的违纪行为，或者发现其在受到留党察看处分前没有交代的其他应当受到党纪处分的违纪行为的，应当由作出恢复党员权利决定的党组织撤销原决定，由有监督执纪权限的纪律检查机关按照程序给予其开除党籍处分，并抄告原作出党纪处分决定的党组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第三章  党中央以及各级党委（党组）处分批准权限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第二十三条  在中央委员会全体会议期间，经中央委员会全体会议应到会委员三分之二以上的多数决定，可以给予中央委员会委员、候补委员撤销党内职务、留党察看或者开除党籍处分。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第二十四条  中央政治局批准下列处分事项：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（一）在中央委员会全体会议闭会期间，先行给予中央委员会委员、候补委员撤销党内职务、留党察看或者开除党籍处分；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（二）给予严重触犯刑律的中央委员会委员、候补委员开除党籍处分。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第二十五条  中央政治局常务委员会批准对有关党的领导干部的处分事项。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第二十六条  在地方党委全体会议期间，给予本级地方党委委员、候补委员撤销党内职务、留党察看或者开除党籍处分的，经地方党委全体会议应到会委员三分之二以上的多数决定，并按照程序呈报上一级纪委常委会审议同意后，由这一级纪委报同级党委常委会审议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在地方党委全体会议闭会期间，地方党委常委会可以先行作出给予本级党委委员、候补委员撤销党内职务、留党察看或者开除党籍处分的处理决定，并依照前款规定履行处分审批程序。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第二十七条  地方党委常委会批准下列处分事项：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（一）给予本级党委讨论决定任免的党员干部撤销党内职务、留党察看或者开除党籍处分；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（二）给予严重触犯刑律的本级党委委员、候补委员开除党籍处分；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（三）给予严重触犯刑律的本级纪委委员开除党籍处分；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（四）给予下一级地方党委委员、候补委员撤销党内职务、留党察看或者开除党籍处分；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（五）给予下一级地方纪委书记、副书记撤销党内职务、留党察看或者开除党籍处分；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（六）党章和有关党内法规规定的其他处分事项。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党的地区委员会和相当于地区委员会的组织，以及设区的市级（不含直辖市的区，下同）以上地方党委在被赋予社会管理权限的开发区、国家级新区等特定地域派出的代表机关，参照前款规定行使处分违纪党员批准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省级党委常委会批准给予省级纪委委员撤销党内职务、留党察看或者开除党籍处分。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新疆维吾尔自治区党委常委会批准给予新疆生产建设兵团党委委员、候补委员撤销党内职务、留党察看或者开除党籍处分。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第二十八条  经负责审查的基层纪委审议并报请，具有审批预备党员权限的基层党委可以批准给予被审查人留党察看以下处分，但被审查人涉及的问题比较重要或者复杂的除外。</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党的街道工作委员会和县级地方党委在开发区等特定地域派出的代表机关，参照前款规定行使处分违纪党员批准权限。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第二十九条  基层党委具备下列条件之一，可以依照本规定第十四条规定直接决定给予违纪党员党纪处分，并可以批准给予违纪党员开除党籍处分：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（一）下级党组织具有审批预备党员权限的；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（二）所在党和国家机关机构规格为副厅局级以上的；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（三）上一级党委系设区的市级以上党委的。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第三十条  党组（党委）、党的工作机关根据干部人事管理权限对属于其管理的人员中的党员给予党纪处分，应当按照规定程序集体讨论决定。其中，党组（党委）会议、党的工作机关部（厅、室）务会或者委员会会议必须有三分之二以上成员到会，经超过应到会成员半数赞成为通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对未经党组（党委）会议、党的工作机关部（厅、室）务会或者委员会会议讨论决定任免，但属于党组（党委）、党的工作机关管理的人员中的党员给予党纪处分的，也可以由所在机关纪委报机关党委审议批准；给予开除党籍处分的，还须相应报党组（党委）会议、党的工作机关部（厅、室）务会或者委员会会议审议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中央和地方党委直属事业单位、由党的工作机关管理的机关根据干部人事管理权限对属于其管理的人员中的党员给予党纪处分，参照前两款规定行使处分违纪党员批准权限。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中央和地方党委派出的代表机关中，不属于党的工作机关的，除本规定和有关党内法规另有规定外，可以参照党的工作机关行使处分违纪党员批准权限。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第三十一条  党组（党委）、党的工作机关、中央和地方党委直属事业单位、由党的工作机关管理的机关以及本规定第三十条第四款所涉中央和地方党委派出的代表机关，具备下列条件之一，可以依照本规定第十四条规定直接决定给予违纪党员党纪处分，并可以批准给予违纪党员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（一）所在单位基层党委具有审批预备党员权限的；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（二）所在党和国家机关机构规格为正县处级以上的；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（三）本级党委系设区的市级以上党委的。</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第三十二条  实行党委领导下的行政领导人负责制的事业单位党委根据干部人事管理权限，可以批准给予其管理的人员中的党员党纪处分。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实行行政领导人负责制的事业单位党组织根据干部人事管理权限和党组织在选人用人中的职责作用，经党政主要领导充分沟通后，相应可以批准给予其管理的人员中的党员党纪处分。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事业单位未被赋予干部人事管理权限，由上级党组织统筹管理的，上级党组织可以批准给予该事业单位工作人员中的党员党纪处分。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本条第二款、第三款规定中的党组织，不含党总支和党支部。</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第四章  纪律检查机关处分批准权限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第三十三条  在中央纪委全体会议期间，经中央纪委全体会议应到会委员三分之二以上的多数决定，可以作出给予中央纪委委员撤销党内职务、留党察看或者开除党籍处分的处理决定，并待报请中央政治局常务委员会批准后，由中央纪委作出党纪处分决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在中央纪委全体会议闭会期间，中央纪委常委会可以先行作出给予中央纪委委员撤销党内职务、留党察看或者开除党籍处分的处理决定，并待报请中央政治局常务委员会批准后，由中央纪委作出党纪处分决定。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第三十四条  中央纪委常委会批准下列处分事项：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（一）给予省部级以下（不含省部级）中管干部以及未明确行政级别的单位中的中管干部警告、严重警告处分；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（二）给予省级党委委员、候补委员警告、严重警告处分；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（三）给予省级纪委常委（不含书记、副书记，下同）、监委委员党纪处分；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（四）党章和有关党内法规规定的其他处分事项。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第三十五条  中央纪委办公会议批准下列处分事项：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（一）给予不是中管干部的中央纪委国家监委机关、直属单位的党员党纪处分；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（二）给予不是中管干部的中央纪委国家监委派驻、派出机构的党员党纪处分；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（三）给予不是中管干部且已离职的中央纪委国家监委机关、直属单位和派驻、派出机构的党员党纪处分。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前款第三项所涉人员违纪行为主要发生在其离职后，且与其离职前在前款所涉单位担任的职务没有关联的，依照本规定第三条规定履行处分审批程序。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第三十六条  在地方纪委全体会议期间，经地方纪委全体会议应到会委员三分之二以上的多数决定，可以作出给予本级纪委委员撤销党内职务、留党察看或者开除党籍处分的处理决定，并待报请本级地方党委常委会审议批准后，由地方纪委作出党纪处分决定，其中系设区的市级以下纪委委员的还须按照程序呈报上一级纪委常委会审查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在地方纪委全体会议闭会期间，地方纪委常委会可以先行作出给予本级纪委委员撤销党内职务、留党察看或者开除党籍处分的处理决定，并依照前款规定履行处分审批程序后，由地方纪委作出党纪处分决定。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第三十七条  地方纪委常委会批准下列处分事项：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（一）给予本级地方党委讨论决定任免的党员干部警告、严重警告处分；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（二）给予未经本级地方党委讨论决定任免、但属于本级地方党委管理的党员干部党纪处分；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（三）给予本级纪委委员警告、严重警告处分；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（四）给予下一级地方党委委员、候补委员警告、严重警告处分；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（五）给予下一级地方纪委书记、副书记警告、严重警告处分；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（六）给予下一级地方纪委常委、监委委员党纪处分；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（七）给予下一级地方纪委委员撤销党内职务、留党察看或者开除党籍处分；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（八）给予本级纪委管理的纪委监委机关、直属单位和派驻、派出机构的党员党纪处分；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（九）党章和有关党内法规规定的其他处分事项。</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地区纪委和相当于地区纪委的其他纪律检查机关，以及设区的市级以上地方纪委监委在被赋予社会管理权限的开发区、国家级新区等特定地域派出的纪检监察工作委员会，参照前款规定行使处分违纪党员批准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新疆维吾尔自治区纪委常委会批准给予新疆生产建设兵团党委委员、候补委员警告、严重警告处分，新疆生产建设兵团纪委委员撤销党内职务、留党察看或者开除党籍处分，新疆生产建设兵团纪委常委、监委委员党纪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第三十八条  基层纪委可以批准给予其审查的案件中的被审查人警告、严重警告处分；如果涉及的问题比较重要或者复杂的，应当经同级党委审议同意后，按照程序报有处分批准权的县级以上纪委审查批准。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党的街道纪检监察工作委员会和县级纪委监委在开发区等特定地域派出的纪检监察工作委员会，参照前款规定行使处分违纪党员批准权限。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符合本规定第二十九条规定的基层党委，其同级纪委可以依照本规定第十四条规定直接决定给予违纪党员党纪处分，并可以批准给予违纪党员开除党籍处分。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第三十九条  对未经党组（党委）会议、党的工作机关部（厅、室）务会或者委员会会议讨论决定任免，但属于党组（党委）、党的工作机关管理的人员中的党员给予警告、严重警告处分的，可以由机关纪委审查批准。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第五章  处分批准权限和程序特殊情形</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第四十条  违纪党员系实行垂直管理或者实行双重领导并以上级单位领导为主的单位的干部，同时担任地方党委委员、候补委员或者地方纪委委员职务的，由地方纪委依照本规定履行处分审批程序，并将党纪处分决定抄告主管单位党组（党委）。其中，地方纪委立案审查的，应当通过有监督执纪权限的相应派驻纪检监察组或者主管单位内设纪检组织征求主管单位党组（党委）意见后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第四十一条  给予党员组织关系转入援派或者挂职单位，但不改变与原单位人事关系的违纪党员干部党纪处分的，一般应当按照所任原单位职务、职级等对应的干部人事管理权限确定处分批准权限、履行处分审批程序。违纪问题与援派或者挂职期间挂任职务有密切关联的，必要时也可以按照该职务对应的干部人事管理权限确定处分批准权限、履行处分审批程序，但在作出处分决定前，应当按照所任原单位职务、职级等对应的干部人事管理权限征求原单位意见。</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给予上级党委委托下级党委管理的党员干部党纪处分的，下级党委、纪委可以依照本规定履行处分审批程序。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第四十二条  给予组织关系转出但尚未被接收的党员党纪处分，由其原所在党组织依照本规定履行处分审批程序。该党组织已撤销的，由继续行使其职权的党组织或者其上一级党组织办理。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给予没有转移组织关系的流动党员和已停止党籍的党员党纪处分，由其组织关系所在党组织依照本规定履行处分审批程序。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第四十三条  给予辞去公职等原因离开公职岗位或者退休的党员干部党纪处分，一般按照其在职时的干部人事管理权限确定处分批准权限、履行处分审批程序。违纪问题发生在离开公职岗位后，且与所任原单位职务、职级等没有关联的，由其组织关系所在党组织依照本规定履行处分审批程序。离开公职岗位后又重新担任公职的，依照本规定第三条规定履行处分审批程序。党纪处分决定作出后，应当抄告违纪党员所在党组织予以执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第四十四条  给予党员组织关系转入相应党的街道工作委员会和所辖社区（村）党组织并实行社会化管理的国有企业退休人员党纪处分，按照党员组织隶属关系，由党的街道纪检监察工作委员会审查批准，其中给予撤销党内职务、留党察看或者开除党籍处分的还须报同级党的街道工作委员会审议批准，给予开除党籍处分的还须依照本规定呈报派出党的街道纪检监察工作委员会的地方纪委常委会审查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前款规定的国有企业退休人员，其违纪行为主要发生在在职期间或者与在职期间的职务有密切关联的，有监督执纪权限的相应纪委监委、派驻纪检监察组或者国有企业内设纪检组织审查后认为应当给予党纪处分的，可以按照其退休前的干部人事管理权限确定处分批准权限、履行处分审批程序。党纪处分决定作出后，应当抄告相应党的街道工作委员会、党的街道纪检监察工作委员会予以执行。对于受到留党察看处分的，由党的街道纪检监察工作委员会依照本规定第二十一条第一款至第三款规定的条件，经其所在党支部党员大会讨论形成决议，报请党的街道工作委员会审议同意后，作出恢复其党员权利、延长一年留党察看期限或者给予其开除党籍处分的决定，并抄告原作出党纪处分决定的党组织；其中给予开除党籍处分的还须依照本规定呈报派出党的街道纪检监察工作委员会的地方纪委常委会审查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给予党员组织关系转入相应乡镇（街道）党委和所辖村（社区）党组织并实行社会化管理的国有企业退休人员党纪处分，参照前两款规定执行。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第四十五条  给予以退休方式移交人民政府安置的退役军官中的党员党纪处分，一般可以根据其退役前的职级或者军衔等级（适用于实行军衔主导的军官等级制度改革后的退役军官，下同），由相应的地方纪委常委会审查批准，其中给予撤销党内职务、留党察看或者开除党籍处分的还须报同级地方党委常委会审议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退役前系师职军官（大校军官以及相应职级文职干部）、团职军官（上校、中校军官以及相应职级文职干部）的，一般应当分别由省级纪委、设区的市级纪委负责履行处分审批程序；系营职以下军官（少校以下军官以及相应职级文职干部）的，由县级纪委负责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第四十六条  给予以逐月领取退役金或者自主择业方式安置且未被停发退役金的退役军官中的党员党纪处分，由其组织关系所在地的县级纪委常委会审查批准，其中拟给予撤销党内职务、留党察看或者开除党籍处分的还须报同级地方党委常委会审议批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给予以复员方式退役的退役军官，以及采取以逐月领取退役金、自主就业、退休或者供养方式安置的退役军士中的党员党纪处分，由其组织关系所在党组织依照本规定履行处分审批程序。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第四十七条  本规定第四十五条、第四十六条规定中的退役军官、军士的违纪行为主要发生在服役期间或者与服役期间的职务有密切关联，由军队纪律检查机关审查的，军队纪律检查机关可以依照其退役前的职务对应的处分批准权限履行处分审批程序并作出党纪处分决定，抄告退役军官、军士组织关系所在地县级党委、纪委予以执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前款规定中的违纪行为由地方纪律检查机关立案审查的，地方纪律检查机关可以依照本规定第四十五条、第四十六条规定履行处分审批程序。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第四十八条  有监督执纪权限的纪律检查机关审查认为预备党员违犯党纪，情节较轻，可以保留预备党员资格的，可以直接给予其批评教育或者按照程序延长一次预备期；情节较重的，应当按照程序取消其预备党员资格。 </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延长预备期、取消预备党员资格，由有监督执纪权限的纪律检查机关向预备党员所在党组织提出书面建议，预备党员所在党组织无正当理由应当采纳并交由预备党员所在党支部党员大会讨论形成决议，呈报有审批预备党员权限的基层党委批准后作出处理决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预备党员组织关系隶属于党的工作委员会的，参照前款规定执行。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第六章  附  则</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第四十九条  本规定所确定的权限，均系应当遵照的最低权限。</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第五十条  本规定所称以上、以下，除有特别标明外均含本级、本数。</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第五十一条  本规定所称严重触犯刑律，是指因犯罪被人民法院判处刑罚。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第五十二条  本规定所称履行处分审批程序，是指依照本规定确定的处分批准权限和程序，对处分事宜进行审议、报批并按照程序作出党纪处分决定。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第五十三条  本规定所称有监督执纪权限，是指按照监督执纪工作实行分级负责制的规定，对涉嫌违纪党员有权行使监督执纪职责，有权对其违纪问题予以立案审查，有权对其提出党纪处分建议或者按照程序作出党纪处分决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第五十四条  军队处分违纪党员批准权限和程序规定，由中央军委根据本规定制定。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第五十五条  本规定由中央纪委负责解释。</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第五十六条  本规定自发布之日起施行。中央纪委1983年7月6日印发的《关于处分违犯党纪的党员批准权限的具体规定》和1987年3月28日印发的《关于修改〈关于处分违犯党纪的党员批准权限的具体规定〉的通知》同时废止。此前有关规定与本规定不一致的，以本规定为准。</w:t>
      </w: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outlineLvl w:val="0"/>
        <w:rPr>
          <w:rFonts w:hint="eastAsia" w:ascii="Times New Roman" w:hAnsi="Times New Roman" w:eastAsia="方正小标宋简体" w:cs="宋体"/>
          <w:color w:val="auto"/>
          <w:kern w:val="44"/>
          <w:sz w:val="32"/>
          <w:szCs w:val="32"/>
          <w:highlight w:val="none"/>
          <w:u w:val="none"/>
          <w:lang w:val="en-US" w:eastAsia="zh-CN" w:bidi="ar"/>
        </w:rPr>
      </w:pPr>
      <w:r>
        <w:rPr>
          <w:rFonts w:hint="eastAsia" w:ascii="Times New Roman" w:hAnsi="Times New Roman" w:eastAsia="方正小标宋简体" w:cs="宋体"/>
          <w:color w:val="auto"/>
          <w:kern w:val="44"/>
          <w:sz w:val="32"/>
          <w:szCs w:val="32"/>
          <w:highlight w:val="none"/>
          <w:u w:val="none"/>
          <w:lang w:val="en-US" w:eastAsia="zh-CN" w:bidi="ar"/>
        </w:rPr>
        <w:t>8.中共中央国务院印发《质量强国建设纲要》</w:t>
      </w:r>
    </w:p>
    <w:p>
      <w:pPr>
        <w:pStyle w:val="2"/>
        <w:outlineLvl w:val="9"/>
        <w:rPr>
          <w:rFonts w:hint="eastAsia"/>
          <w:u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outlineLvl w:val="0"/>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人民日报 》（ 2023年02月07日   第 01 版）</w:t>
      </w:r>
    </w:p>
    <w:p>
      <w:pPr>
        <w:pStyle w:val="2"/>
        <w:rPr>
          <w:rFonts w:hint="eastAsia"/>
          <w:u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新华社北京2月6日电  近日，中共中央、国务院印发了《质量强国建设纲要》，并发出通知，要求各地区各部门结合实际认真贯彻落实。</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《质量强国建设纲要》主要内容如下。</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建设质量强国是推动高质量发展、促进我国经济由大向强转变的重要举措，是满足人民美好生活需要的重要途径。为统筹推进质量强国建设，全面提高我国质量总体水平，制定本纲要。</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一、形势背景</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质量是人类生产生活的重要保障。党的十八大以来，在以习近平同志为核心的党中央坚强领导下，我国质量事业实现跨越式发展，质量强国建设取得历史性成效。全民质量意识显著提高，质量管理和品牌发展能力明显增强，产品、工程、服务质量总体水平稳步提升，质量安全更有保障，一批重大技术装备、重大工程、重要消费品、新兴领域高技术产品的质量达到国际先进水平，商贸、旅游、金融、物流等服务质量明显改善；产业和区域质量竞争力持续提升，质量基础设施效能逐步彰显，质量对提高全要素生产率和促进经济发展的贡献更加突出，人民群众质量获得感显著增强。</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当今世界正经历百年未有之大变局，新一轮科技革命和产业变革深入发展，引发质量理念、机制、实践的深刻变革。质量作为繁荣国际贸易、促进产业发展、增进民生福祉的关键要素，越来越成为经济、贸易、科技、文化等领域的焦点。当前，我国质量水平的提高仍然滞后于经济社会发展，质量发展基础还不够坚实。</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面对新形势新要求，必须把推动发展的立足点转到提高质量和效益上来，培育以技术、标准、品牌、质量、服务等为核心的经济发展新优势，推动中国制造向中国创造转变、中国速度向中国质量转变、中国产品向中国品牌转变，坚定不移推进质量强国建设。</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二、总体要求</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指导思想。以习近平新时代中国特色社会主义思想为指导，立足新发展阶段，完整、准确、全面贯彻新发展理念，构建新发展格局，统筹发展和安全，以推动高质量发展为主题，以提高供给质量为主攻方向，以改革创新为根本动力，以满足人民日益增长的美好生活需要为根本目的，深入实施质量强国战略，牢固树立质量第一意识，健全质量政策，加强全面质量管理，促进质量变革创新，着力提升产品、工程、服务质量，着力推动品牌建设，着力增强产业质量竞争力，着力提高经济发展质量效益，着力提高全民质量素养，积极对接国际先进技术、规则、标准，全方位建设质量强国，为全面建设社会主义现代化国家、实现中华民族伟大复兴的中国梦提供质量支撑。</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（二）主要目标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到2025年，质量整体水平进一步全面提高，中国品牌影响力稳步提升，人民群众质量获得感、满意度明显增强，质量推动经济社会发展的作用更加突出，质量强国建设取得阶段性成效。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——经济发展质量效益明显提升。经济结构更加优化，创新能力显著提升，现代化经济体系建设取得重大进展，单位GDP资源能源消耗不断下降，经济发展新动能和质量新优势显著增强。</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产业质量竞争力持续增强。制约产业发展的质量瓶颈不断突破，产业链供应链整体现代化水平显著提高，一二三产业质量效益稳步提高，农业标准化生产普及率稳步提升，制造业质量竞争力指数达到86，服务业供给有效满足产业转型升级和居民消费升级需要，质量竞争型产业规模显著扩大，建成一批具有引领力的质量卓越产业集群。</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产品、工程、服务质量水平显著提升。质量供给和需求更加适配，农产品质量安全例行监测合格率和食品抽检合格率均达到98%以上，制造业产品质量合格率达到94%，工程质量抽查符合率不断提高，消费品质量合格率有效支撑高品质生活需要，服务质量满意度全面提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品牌建设取得更大进展。品牌培育、发展、壮大的促进机制和支持制度更加健全，品牌建设水平显著提高，企业争创品牌、大众信赖品牌的社会氛围更加浓厚，品质卓越、特色鲜明的品牌领军企业持续涌现，形成一大批质量过硬、优势明显的中国品牌。</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质量基础设施更加现代高效。质量基础设施管理体制机制更加健全、布局更加合理，计量、标准、认证认可、检验检测等实现更高水平协同发展，建成若干国家级质量标准实验室，打造一批高效实用的质量基础设施集成服务基地。</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质量治理体系更加完善。质量政策法规更加健全，质量监管体系更趋完备，重大质量安全风险防控机制更加有效，质量管理水平普遍提高，质量人才队伍持续壮大，质量专业技术人员结构和数量更好适配现代质量管理需要，全民质量素养不断增强，质量发展环境更加优化。</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到2035年，质量强国建设基础更加牢固，先进质量文化蔚然成风，质量和品牌综合实力达到更高水平。</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三、推动经济质量效益型发展</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增强质量发展创新动能。建立政产学研用深度融合的质量创新体系，协同开展质量领域技术、管理、制度创新。加强质量领域基础性、原创性研究，集中实施一批产业链供应链质量攻关项目，突破一批重大标志性质量技术和装备。开展质量管理数字化赋能行动，推动质量策划、质量控制、质量保证、质量改进等全流程信息化、网络化、智能化转型。加强专利、商标、版权、地理标志、植物新品种、集成电路布图设计等知识产权保护，提升知识产权公共服务能力。建立质量专业化服务体系，协同推进技术研发、标准研制、产业应用，打通质量创新成果转化应用渠道。</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树立质量发展绿色导向。开展重点行业和重点产品资源效率对标提升行动，加快低碳零碳负碳关键核心技术攻关，推动高耗能行业低碳转型。全面推行绿色设计、绿色制造、绿色建造，健全统一的绿色产品标准、认证、标识体系，大力发展绿色供应链。优化资源循环利用技术标准，实现资源绿色、高效再利用。建立健全碳达峰、碳中和标准计量体系，推动建立国际互认的碳计量基标准、碳监测及效果评估机制。建立实施国土空间生态修复标准体系。建立绿色产品消费促进制度，推广绿色生活方式。</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强化质量发展利民惠民。开展质量惠民行动，顺应消费升级趋势，推动企业加快产品创新、服务升级、质量改进，促进定制、体验、智能、时尚等新型消费提质扩容，满足多样化、多层级消费需求。开展放心消费创建活动，推动经营者诚信自律，营造安全消费环境，加强售后服务保障。完善质量多元救济机制，鼓励企业投保产品、工程、服务质量相关保险，健全质量保证金制度，推行消费争议先行赔付，开展消费投诉信息公示，加强消费者权益保护，让人民群众买得放心、吃得安心、用得舒心。</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四、增强产业质量竞争力</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六）强化产业基础质量支撑。聚焦产业基础质量短板，分行业实施产业基础质量提升工程，加强重点领域产业基础质量攻关，实现工程化突破和产业化应用。开展材料质量提升关键共性技术研发和应用验证，提高材料质量稳定性、一致性、适用性水平。改进基础零部件与元器件性能指标，提升可靠性、耐久性、先进性。推进基础制造工艺与质量管理、数字智能、网络技术深度融合，提高生产制造敏捷度和精益性。支持通用基础软件、工业软件、平台软件、应用软件工程化开发，实现工业质量分析与控制软件关键技术突破。加强技术创新、标准研制、计量测试、合格评定、知识产权、工业数据等产业技术基础能力建设，加快产业基础高级化进程。</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七）提高产业质量竞争水平。推动产业质量升级，加强产业链全面质量管理，着力提升关键环节、关键领域质量管控水平。开展对标达标提升行动，以先进标准助推传统产业提质增效和新兴产业高起点发展。推进农业品种培优、品质提升、品牌打造和标准化生产，全面提升农业生产质量效益。加快传统制造业技术迭代和质量升级，强化战略性新兴产业技术、质量、管理协同创新，培育壮大质量竞争型产业，推动制造业高端化、智能化、绿色化发展，大力发展服务型制造。加快培育服务业新业态新模式，以质量创新促进服务场景再造、业务再造、管理再造，推动生产性服务业向专业化和价值链高端延伸，推动生活性服务业向高品质和多样化升级。完善服务业质量标准，加强服务业质量监测，优化服务业市场环境。加快大数据、网络、人工智能等新技术的深度应用，促进现代服务业与先进制造业、现代农业融合发展。</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八）提升产业集群质量引领力。支持先导性、支柱性产业集群加强先进技术应用、质量创新、质量基础设施升级，培育形成一批技术质量优势突出、产业链融通发展的产业集群。深化产业集群质量管理机制创新，构建质量管理协同、质量资源共享、企业分工协作的质量发展良好生态。组建一批产业集群质量标准创新合作平台，加强创新技术研发，开展先进标准研制，推广卓越质量管理实践。依托国家级新区、国家高新技术产业开发区、自由贸易试验区等，打造技术、质量、管理创新策源地，培育形成具有引领力的质量卓越产业集群。</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九）打造区域质量发展新优势。加强质量政策引导，推动区域质量发展与生产力布局、区位优势、环境承载能力及社会发展需求对接融合。推动东部地区发挥质量变革创新的引领带动作用，增强质量竞争新优势，实现整体质量提升。引导中西部地区因地制宜发展特色产业，促进区域内支柱产业质量升级，培育形成质量发展比较优势。推动东北地区优化质量发展环境，加快新旧动能转换，促进产业改造升级和质量振兴。健全区域质量合作互助机制，推动区域质量协同发展。深化质量强省建设，推动质量强市、质量强业向纵深发展，打造质量强国建设标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五、加快产品质量提档升级</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提高农产品食品药品质量安全水平。严格落实食品安全“四个最严”要求，实行全主体、全品种、全链条监管，确保人民群众“舌尖上的安全”。强化农产品质量安全保障，制定农产品质量监测追溯互联互通标准，加大监测力度，依法依规严厉打击违法违规使用禁限用药物行为，严格管控直接上市农产品农兽药残留超标问题，加强优质农产品基地建设，推行承诺达标合格证制度，推进绿色食品、有机农产品、良好农业规范的认证管理，深入实施地理标志农产品保护工程，推进现代农业全产业链标准化试点。深入实施食品安全战略，推进食品安全放心工程。调整优化食品产业布局，加快产业技术改造升级。完善食品安全标准体系，推动食品生产企业建立实施危害分析和关键控制点体系，加强生产经营过程质量安全控制。加快构建全程覆盖、运行高效的农产品食品安全监管体系，强化信用和智慧赋能质量安全监管，提升农产品食品全链条质量安全水平。加强药品和疫苗全生命周期管理，推动临床急需和罕见病治疗药品、医疗器械审评审批提速，提高药品检验检测和生物制品（疫苗）批签发能力，优化中药审评机制，加速推进化学原料药、中药技术研发和质量标准升级，提升仿制药与原研药、专利药的质量和疗效一致性。加强农产品食品药品冷链物流设施建设，完善信息化追溯体系，实现重点类别产品全过程可追溯。</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一）优化消费品供给品类。实施消费品质量提升行动，加快升级消费品质量标准，提高研发设计与生产质量，推动消费品质量从生产端符合型向消费端适配型转变，促进增品种、提品质、创品牌。加快传统消费品迭代创新，推广个性化定制、柔性化生产，推动基于材料选配、工艺美学、用户体验的产品质量变革。加强产品前瞻性功能研发，扩大优质新型消费品供给，推行高端品质认证，以创新供给引领消费需求。强化农产品营养品质评价和分等分级。增加老年人、儿童、残疾人等特殊群体的消费品供给，强化安全要求、功能适配、使用便利。对标国际先进标准，推进内外贸产品同线同标同质。鼓励优质消费品进口，提高出口商品品质和单位价值，实现优进优出。制定消费品质量安全监管目录，对质量问题突出、涉及人民群众身体健康和生命财产安全的重要消费品，严格质量安全监管。</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二）推动工业品质量迈向中高端。发挥工业设计对质量提升的牵引作用，大力发展优质制造，强化研发设计、生产制造、售后服务全过程质量控制。加强应用基础研究和前沿技术研发，强化复杂系统的功能、性能及可靠性一体化设计，提升重大技术装备制造能力和质量水平。建立首台（套）重大技术装备检测评定制度，加强检测评定能力建设，促进原创性技术和成套装备产业化。完善重大工程设备监理制度，保障重大设备质量安全与投资效益。加快传统装备智能化改造，大力发展高质量通用智能装备。实施质量可靠性提升计划，提高机械、电子、汽车等产品及其基础零部件、元器件可靠性水平，促进品质升级。</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六、提升建设工程品质</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三）强化工程质量保障。全面落实各方主体的工程质量责任，强化建设单位工程质量首要责任和勘察、设计、施工、监理单位主体责任。严格执行工程质量终身责任书面承诺制、永久性标牌制、质量信息档案等制度，强化质量责任追溯追究。落实建设项目法人责任制，保证合理工期、造价和质量。推进工程质量管理标准化，实施工程施工岗位责任制，严格进场设备和材料、施工工序、项目验收的全过程质量管控。完善建设工程质量保修制度，加强运营维护管理。强化工程建设全链条质量监管，完善日常检查和抽查抽测相结合的质量监督检查制度，加强工程质量监督队伍建设，探索推行政府购买服务方式委托社会力量辅助工程质量监督检查。完善工程建设招标投标制度，将企业工程质量情况纳入招标投标评审，加强标后合同履约监管。</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四）提高建筑材料质量水平。加快高强度高耐久、可循环利用、绿色环保等新型建材研发与应用，推动钢材、玻璃、陶瓷等传统建材升级换代，提升建材性能和品质。大力发展绿色建材，完善绿色建材产品标准和认证评价体系，倡导选用绿色建材。鼓励企业建立装配式建筑部品部件生产、施工、安装全生命周期质量控制体系，推行装配式建筑部品部件驻厂监造。落实建材生产和供应单位终身责任，严格建材使用单位质量责任，强化影响结构强度和安全性、耐久性的关键建材全过程质量管理。加强建材质量监管，加大对外墙保温材料、水泥、电线电缆等重点建材产品质量监督抽查力度，实施缺陷建材响应处理和质量追溯。开展住宅、公共建筑等重点领域建材专项整治，促进从生产到施工全链条的建材行业质量提升。</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五）打造中国建造升级版。坚持百年大计、质量第一，树立全生命周期建设发展理念，构建现代工程建设质量管理体系，打造中国建造品牌。完善勘察、设计、监理、造价等工程咨询服务技术标准，鼓励发展全过程工程咨询和专业化服务。完善工程设计方案审查论证机制，突出地域特征、民族特点、时代风貌，提供质量优良、安全耐久、环境协调、社会认可的工程设计产品。加大先进建造技术前瞻性研究力度和研发投入，加快建筑信息模型等数字化技术研发和集成应用，创新开展工程建设工法研发、评审、推广。加强先进质量管理模式和方法高水平应用，打造品质工程标杆。推广先进建造设备和智能建造方式，提升建设工程的质量和安全性能。大力发展绿色建筑，深入推进可再生能源、资源建筑应用，实现工程建设全过程低碳环保、节能减排。</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七、增加优质服务供给</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六）提高生产服务专业化水平。大力发展农业社会化服务，开展农技推广、生产托管、代耕代种等专业服务。发展智能化解决方案、系统性集成、流程再造等服务，提升工业设计、检验检测、知识产权、质量咨询等科技服务水平，推动产业链与创新链、价值链精准对接、深度融合。统筹推进普惠金融、绿色金融、科创金融、供应链金融发展，提高服务实体经济质量升级的精准性和可及性。积极发展多式联运、智慧物流、供应链物流，提升冷链物流服务质量，优化国际物流通道，提高口岸通关便利化程度。规范发展网上销售、直播电商等新业态新模式。加快发展海外仓等外贸新业态。提高现代物流、生产控制、信息数据等服务能力，增强产业链集成优势。加强重大装备、特种设备、耐用消费品的售后服务能力建设，提升安装、维修、保养质量水平。</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七）促进生活服务品质升级。大力发展大众餐饮服务，提高质量安全水平。创新丰富家政服务，培育优质服务品牌。促进物业管理、房屋租赁服务专业化、规范化发展。提升旅游管理和服务水平，规范旅游市场秩序，改善旅游消费体验，打造乡村旅游、康养旅游、红色旅游等精品项目。提升面向居家生活、户外旅游等的应急救援服务能力。大力发展公共交通，引导网约出租车、定制公交等个性化出行服务规范发展。推动航空公司和机场全面建立旅客服务质量管理体系，提高航空服务能力和品质。积极培育体育赛事活动、社区健身等服务项目，提升公共体育场馆开放服务品质。促进网络购物、移动支付等新模式规范有序发展，鼓励超市、电商平台等零售业态多元化融合发展。支持有条件的地方建设新型消费体验中心，开展多样化体验活动。加强生活服务质量监管，保障人民群众享有高品质生活。</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八）提升公共服务质量效率。围绕城乡居民生活便利化、品质化需要，加强便民服务设施建设，提升卫生、文化等公共设施服务质量。推动政务服务事项集成化办理、一窗通办、网上办理、跨省通办，提高服务便利度。建设高质量教育体系，推动基本公共教育、职业技术教育、高等教育等提质扩容。大力推动图书馆、博物馆等公共文化场馆数字化发展，加快线上线下服务融合。加强基层公共就业创业服务平台建设，强化职业技能培训、用工指导等公共就业服务。加强养老服务质量标准与评价体系建设，扩大日间照料、失能照护、助餐助行等养老服务有效供给，积极发展互助性养老服务。健全医疗质量管理体系，完善城乡医疗服务网络，逐步扩大城乡家庭医生签约服务覆盖范围。完善突发公共卫生事件监测预警处置机制，加强实验室检测网络建设，强化科技标准支撑和物资质量保障。持续推进口岸公共卫生核心能力建设，进一步提升防控传染病跨境传播能力。加强公共配套设施适老化、适儿化、无障碍改造。</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八、增强企业质量和品牌发展能力</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九）加快质量技术创新应用。强化企业创新主体地位，引导企业加大质量技术创新投入，推动新技术、新工艺、新材料应用，促进品种开发和品质升级。鼓励企业加强质量技术创新中心建设，推进质量设计、试验检测、可靠性工程等先进质量技术的研发应用。支持企业牵头组建质量技术创新联合体，实施重大质量改进项目，协同开展产业链供应链质量共性技术攻关。鼓励支持中小微企业实施技术改造、质量改进、品牌建设，提升中小微企业质量技术创新能力。</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提升全面质量管理水平。鼓励企业制定实施以质取胜生产经营战略，创新质量管理理念、方法、工具，推动全员、全要素、全过程、全数据的新型质量管理体系应用，加快质量管理成熟度跃升。强化新一代信息技术应用和企业质量保证能力建设，构建数字化、智能化质量管控模式，实施供应商质量控制能力考核评价，推动质量形成过程的显性化、可视化。引导企业开展质量管理数字化升级、质量标杆经验交流、质量管理体系认证、质量标准制定等，加强全员质量教育培训，健全企业首席质量官制度，重视质量经理、质量工程师、质量技术能手队伍建设。</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一）争创国内国际知名品牌。完善品牌培育发展机制，开展中国品牌创建行动，打造中国精品和“百年老店”。鼓励企业实施质量品牌战略，建立品牌培育管理体系，深化品牌设计、市场推广、品牌维护等能力建设，提高品牌全生命周期管理运营能力。开展品牌理论、价值评价研究，完善品牌价值评价标准，推动品牌价值评价和结果应用。统筹开展中华老字号和地方老字号认定，完善老字号名录体系。持续办好“中国品牌日”系列活动。支持企业加强品牌保护和维权，依法严厉打击品牌仿冒、商标侵权等违法行为，为优质品牌企业发展创造良好环境。</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九、构建高水平质量基础设施</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二）优化质量基础设施管理。建立高效权威的国家质量基础设施管理体制，推进质量基础设施分级分类管理。深化计量技术机构改革创新，推进国家现代先进测量体系建设，完善国家依法管理的量值传递体系和市场需求导向的量值溯源体系，规范和引导计量技术服务市场发展。深入推进标准化运行机制创新，优化政府颁布标准与市场自主制定标准二元结构，不断提升标准供给质量和效率，推动国内国际标准化协同发展。深化检验检测机构市场化改革，加强公益性机构功能性定位、专业化建设，推进经营性机构集约化运营、产业化发展。深化检验检测认证机构资质审批制度改革，全面实施告知承诺和优化审批服务，优化规范检验检测机构资质认定程序。加强检验检测认证机构监管，落实主体责任，规范从业行为。开展质量基础设施运行监测和综合评价，提高质量技术服务机构管理水平。</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三）加强质量基础设施能力建设。合理布局国家、区域、产业质量技术服务机构，建设系统完备、结构优化、高效实用的质量基础设施。实施质量基础设施能力提升行动，突破量子化计量及扁平化量值传递关键技术，构建标准数字化平台，发展新型标准化服务工具和模式，加强检验检测技术与装备研发，加快认证认可技术研究由单一要素向系统性、集成化方向发展。加快建设国家级质量标准实验室，开展先进质量标准、检验检测方法、高端计量仪器、检验检测设备设施的研制验证。完善检验检测认证行业品牌培育、发展、保护机制，推动形成检验检测认证知名品牌。加大质量基础设施能力建设，逐步增加计量检定校准、标准研制与实施、检验检测认证等无形资产投资，鼓励社会各方共同参与质量基础设施建设。</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四）提升质量基础设施服务效能。开展质量基础设施助力行动，围绕科技创新、优质制造、乡村振兴、生态环保等重点领域，大力开展计量、标准化、合格评定等技术服务，推动数据、仪器、设备等资源开放共享，更好服务市场需求。深入实施“标准化+”行动，促进全域标准化深度发展。实施质量基础设施拓展伙伴计划，构建协同服务网络，打造质量基础设施集成服务基地，为产业集群、产业链质量升级提供“一站式”服务。支持区域内计量、标准、认证认可、检验检测等要素集成融合，鼓励跨区域要素融通互补、协同发展。建设技术性贸易措施公共服务体系，加强对技术性贸易壁垒和动植物卫生检疫措施的跟踪、研判、预警、评议、应对。加强质量标准、检验检疫、认证认可等国内国际衔接，促进内外贸一体化发展。</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十、推进质量治理现代化</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五）加强质量法治建设。健全质量法律法规，修订完善产品质量法，推动产品安全、产品责任、质量基础设施等领域法律法规建设。依法依规严厉打击制售假冒伪劣商品、侵犯知识产权、工程质量违法违规等行为，推动跨行业跨区域监管执法合作，推进行政执法与刑事司法衔接。支持开展质量公益诉讼和集体诉讼，有效执行商品质量惩罚性赔偿制度。健全产品和服务质量担保与争议处理机制，推行第三方质量争议仲裁。加强质量法治宣传教育，普及质量法律知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六）健全质量政策制度。完善质量统计指标体系，开展质量统计分析。完善多元化、多层级的质量激励机制，健全国家质量奖励制度，鼓励地方按有关规定对质量管理先进、成绩显著的组织和个人实施激励。建立质量分级标准规则，实施产品和服务质量分级，引导优质优价，促进精准监管。建立健全强制性与自愿性相结合的质量披露制度，鼓励企业实施质量承诺和标准自我声明公开。完善政府采购政策和招投标制度，健全符合采购需求特点、质量标准、市场交易习惯的交易规则，加强采购需求管理，推动形成需求引领、优质优价的采购制度。健全覆盖质量、标准、品牌、专利等要素的融资增信体系，强化对质量改进、技术改造、设备更新的金融服务供给，加大对中小微企业质量创新的金融扶持力度。将质量内容纳入中小学义务教育，支持高等学校加强质量相关学科建设和专业设置，完善质量专业技术技能人才职业培训制度和职称制度，实现职称制度与职业资格制度有效衔接，着力培养质量专业技能型人才、科研人才、经营管理人才。建立质量政策评估制度，强化结果反馈和跟踪改进。</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七）优化质量监管效能。健全以“双随机、一公开”监管和“互联网+监管”为基本手段、以重点监管为补充、以信用监管为基础的新型监管机制。创新质量监管方式，完善市场准入制度，深化工业产品生产许可证和强制性认证制度改革，分类放宽一般工业产品和服务业准入限制，强化事前事中事后全链条监管。对涉及人民群众身体健康和生命财产安全、公共安全、生态环境安全的产品以及重点服务领域，依法实施严格监管。完善产品质量监督抽查制度，加强工业品和消费品质量监督检查，推动实现生产流通、线上线下一体化抽查，探索建立全国联动抽查机制，对重点产品实施全国企业抽查全覆盖，强化监督抽查结果处理。建立健全产品质量安全风险监控机制，完善产品伤害监测体系，开展质量安全风险识别、评估和处置。建立健全产品质量安全事故强制报告制度，开展重大质量安全事故调查与处理。健全产品召回管理体制机制，加强召回技术支撑，强化缺陷产品召回管理。构建重点产品质量安全追溯体系，完善质量安全追溯标准，加强数据开放共享，形成来源可查、去向可追、责任可究的质量安全追溯链条。加强产品防伪监督管理。建立质量安全“沙盒监管”制度，为新产品新业态发展提供容错纠错空间。加强市场秩序综合治理，营造公平竞争的市场环境，促进质量竞争、优胜劣汰。严格进出口商品质量安全检验监管，持续完善进出口商品质量安全风险预警和快速反应监管机制。加大对城乡结合部、农村等重点区域假冒伪劣的打击力度。强化网络平台销售商品质量监管，健全跨地区跨行业监管协调联动机制，推进线上线下一体化监管。</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八）推动质量社会共治。创新质量治理模式，健全以法治为基础、政府为主导、社会各方参与的多元治理机制，强化基层治理、企业主责和行业自律。深入实施质量提升行动，动员各行业、各地区及广大企业全面加强质量管理，全方位推动质量升级。支持群团组织、一线班组开展质量改进、质量创新、劳动技能竞赛等群众性质量活动。发挥行业协会商会、学会及消费者组织等的桥梁纽带作用，开展标准制定、品牌建设、质量管理等技术服务，推进行业质量诚信自律。引导消费者树立绿色健康安全消费理念，主动参与质量促进、社会监督等活动。发挥新闻媒体宣传引导作用，传播先进质量理念和最佳实践，曝光制售假冒伪劣等违法行为。引导社会力量参与质量文化建设，鼓励创作体现质量文化特色的影视和文学作品。以全国“质量月”等活动为载体，深入开展全民质量行动，弘扬企业家精神和工匠精神，营造政府重视质量、企业追求质量、社会崇尚质量、人人关心质量的良好氛围。</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九）加强质量国际合作。深入开展双多边质量合作交流，加强与国际组织、区域组织和有关国家的质量对话与磋商，开展质量教育培训、文化交流、人才培养等合作。围绕区域全面经济伙伴关系协定实施等，建设跨区域计量技术转移平台和标准信息平台，推进质量基础设施互联互通。健全贸易质量争端预警和协调机制，积极参与技术性贸易措施相关规则和标准制定。参与建立跨国（境）消费争议处理和执法监管合作机制，开展质量监管执法和消费维权双多边合作。定期举办中国质量大会，积极参加和承办国际性质量会议。</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十一、组织保障</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十）加强党的领导。坚持党对质量工作的全面领导，把党的领导贯彻到质量工作的各领域各方面各环节，确保党中央决策部署落到实处。建立质量强国建设统筹协调工作机制，健全质量监督管理体制，强化部门协同、上下联动，整体有序推进质量强国战略实施。</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十一）狠抓工作落实。各级党委和政府要将质量强国建设列入重要议事日程，纳入国民经济和社会发展规划、专项规划、区域规划。各地区各有关部门要结合实际，将纲要主要任务与国民经济和社会发展规划有效衔接、同步推进，促进产业、财政、金融、科技、贸易、环境、人才等方面政策与质量政策协同，确保各项任务落地见效。</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十二）开展督察评估。加强中央质量督察工作，形成有效的督促检查和整改落实机制。深化质量工作考核，将考核结果纳入各级党政领导班子和领导干部政绩考核内容。对纲要实施中作出突出贡献的单位和个人，按照国家有关规定予以表彰。建立纲要实施评估机制，市场监管总局会同有关部门加强跟踪分析和督促指导，重大事项及时向党中央、国务院请示报告。</w:t>
      </w: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pStyle w:val="2"/>
        <w:keepNext w:val="0"/>
        <w:keepLines w:val="0"/>
        <w:pageBreakBefore w:val="0"/>
        <w:kinsoku/>
        <w:wordWrap/>
        <w:overflowPunct/>
        <w:topLinePunct w:val="0"/>
        <w:autoSpaceDE/>
        <w:autoSpaceDN/>
        <w:bidi w:val="0"/>
        <w:spacing w:line="560" w:lineRule="exact"/>
        <w:rPr>
          <w:rFonts w:hint="eastAsia"/>
          <w:sz w:val="32"/>
          <w:szCs w:val="32"/>
          <w:u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jc w:val="center"/>
        <w:outlineLvl w:val="0"/>
        <w:rPr>
          <w:rFonts w:hint="eastAsia" w:ascii="Times New Roman" w:hAnsi="Times New Roman" w:eastAsia="方正小标宋简体" w:cs="宋体"/>
          <w:color w:val="auto"/>
          <w:kern w:val="44"/>
          <w:sz w:val="32"/>
          <w:szCs w:val="32"/>
          <w:highlight w:val="none"/>
          <w:u w:val="none"/>
          <w:lang w:val="en-US" w:eastAsia="zh-CN" w:bidi="ar"/>
        </w:rPr>
      </w:pPr>
      <w:r>
        <w:rPr>
          <w:rFonts w:hint="eastAsia" w:ascii="Times New Roman" w:hAnsi="Times New Roman" w:eastAsia="方正小标宋简体" w:cs="宋体"/>
          <w:color w:val="auto"/>
          <w:kern w:val="44"/>
          <w:sz w:val="32"/>
          <w:szCs w:val="32"/>
          <w:highlight w:val="none"/>
          <w:u w:val="none"/>
          <w:lang w:val="en-US" w:eastAsia="zh-CN" w:bidi="ar"/>
        </w:rPr>
        <w:t>9.中办国办印发《关于进一步加强财会监督工作的意见》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 人民日报 》（ 2023年02月16日   第 01 版）</w:t>
      </w:r>
    </w:p>
    <w:p>
      <w:pPr>
        <w:pStyle w:val="2"/>
        <w:rPr>
          <w:rFonts w:hint="eastAsia"/>
          <w:u w:val="none"/>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新华社北京2月15日电  近日，中共中央办公厅、国务院办公厅印发了《关于进一步加强财会监督工作的意见》，并发出通知，要求各地区各部门结合实际认真贯彻落实。</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《关于进一步加强财会监督工作的意见》全文如下。</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财会监督是依法依规对国家机关、企事业单位、其他组织和个人的财政、财务、会计活动实施的监督。近年来，财会监督作为党和国家监督体系的重要组成部分，在推进全面从严治党、维护中央政令畅通、规范财经秩序、促进经济社会健康发展等方面发挥了重要作用，同时也存在监督体系尚待完善、工作机制有待理顺、法治建设亟待健全、监督能力有待提升、一些领域财经纪律亟需整治等问题。为进一步加强财会监督工作，更好发挥财会监督职能作用，现提出如下意见。</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一、总体要求</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一）指导思想。以习近平新时代中国特色社会主义思想为指导，深入贯彻党的二十大精神，完整、准确、全面贯彻新发展理念，加快构建新发展格局，着力推动高质量发展，更好统筹发展和安全，坚持以完善党和国家监督体系为出发点，以党内监督为主导，突出政治属性，严肃财经纪律，健全财会监督体系，完善工作机制，提升财会监督效能，促进财会监督与其他各类监督贯通协调，推动健全党统一领导、全面覆盖、权威高效的监督体系。</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（二）工作要求</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——坚持党的领导，发挥政治优势。坚持加强党的全面领导和党中央集中统一领导，把党的领导落实到财会监督全过程各方面，确保党中央、国务院重大决策部署有效贯彻落实。</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——坚持依法监督，强化法治思维。按照全面依法治国要求，健全财经领域法律法规和政策制度，加快补齐法治建设短板，依法依规开展监督，严格执法、严肃问责。</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——坚持问题导向，分类精准施策。针对重点领域多发、高发、易发问题和突出矛盾，分类别、分阶段精准施策，强化对公权力运行的制约和监督，建立长效机制，提升监督效能。</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坚持协同联动，加强贯通协调。按照统筹协同、分级负责、上下联动的要求，健全财会监督体系，构建高效衔接、运转有序的工作机制，与其他各类监督有机贯通、相互协调，形成全方位、多层次、立体化的财会监督工作格局。</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主要目标。到2025年，构建起财政部门主责监督、有关部门依责监督、各单位内部监督、相关中介机构执业监督、行业协会自律监督的财会监督体系；基本建立起各类监督主体横向协同，中央与地方纵向联动，财会监督与其他各类监督贯通协调的工作机制；财会监督法律制度更加健全，信息化水平明显提高，监督队伍素质不断提升，在规范财政财务管理、提高会计信息质量、维护财经纪律和市场经济秩序等方面发挥重要保障作用。</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二、进一步健全财会监督体系</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加强党对财会监督工作的领导。各级党委要加强对财会监督工作的领导，保障党中央决策部署落实到位，统筹推动各项工作有序有效开展。各级政府要建立财会监督协调工作机制，明确工作任务、健全机制、完善制度，加强对下级财会监督工作的督促和指导。</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依法履行财会监督主责。各级财政部门是本级财会监督的主责部门，牵头组织对财政、财务、会计管理法律法规及规章制度执行情况的监督。加强预算管理监督，推动构建完善综合统筹、规范透明、约束有力、讲求绩效、持续安全的现代预算制度，推进全面实施预算绩效管理。加强对行政事业性国有资产管理规章制度、政府采购制度实施情况的监督，保障国有资产安全完整，规范政府采购行为。加强对财务管理、内部控制的监督，督促指导相关单位规范财务管理，提升内部管理水平。加强对会计行为的监督，提高会计信息质量。加强对注册会计师、资产评估和代理记账行业执业质量的监督，规范行业秩序，促进行业健康发展。</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六）依照法定职责实施部门监督。有关部门要依法依规强化对主管、监管行业系统和单位财会监督工作的督促指导。加强对所属单位预算执行的监督，强化预算约束。按照职责分工加强对政府采购活动、资产评估行业的监督，提高政府采购资金使用效益，推动资产评估行业高质量发展。加强对归口财务管理单位财务活动的指导和监督，严格财务管理。按照会计法赋予的职权对有关单位的会计资料实施监督，规范会计行为。</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七）进一步加强单位内部监督。各单位要加强对本单位经济业务、财务管理、会计行为的日常监督。结合自身实际建立权责清晰、约束有力的内部财会监督机制和内部控制体系，明确内部监督的主体、范围、程序、权责等，落实单位内部财会监督主体责任。各单位主要负责人是本单位财会监督工作第一责任人，对本单位财会工作和财会资料的真实性、完整性负责。单位内部应明确承担财会监督职责的机构或人员，负责本单位经济业务、财会行为和会计资料的日常监督检查。财会人员要加强自我约束，遵守职业道德，拒绝办理或按照职权纠正违反法律法规规定的财会事项，有权检举单位或个人的违法违规行为。</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八）发挥中介机构执业监督作用。会计师事务所、资产评估机构、税务师事务所、代理记账机构等中介机构要严格依法履行审计鉴证、资产评估、税收服务、会计服务等职责，确保独立、客观、公正、规范执业。切实加强对执业质量的把控，完善内部控制制度，建立内部风险防控机制，加强风险分类防控，提升内部管理水平，规范承揽和开展业务，建立健全事前评估、事中跟踪、事后评价管理体系，强化质量管理责任。持续提升中介机构一体化管理水平，实现人员调配、财务安排、业务承接、技术标准、信息化建设的实质性一体化管理。</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九）强化行业协会自律监督作用。注册会计师协会、资产评估协会、注册税务师协会、银行业协会、证券业协会等要充分发挥督促引导作用，促进持续提升财会信息质量和内部控制有效性。加强行业诚信建设，健全行业诚信档案，把诚信建设要求贯穿行业管理和服务工作各环节。进一步加强行业自律监管，运用信用记录、警示告诫、公开曝光等措施加大惩戒力度，完善对投诉举报、媒体质疑等的处理机制，推动提升财会业务规范化水平。</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三、完善财会监督工作机制</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加强财会监督主体横向协同。构建财政部门、有关部门、各单位、中介机构、行业协会等监督主体横向协同工作机制。各级财政部门牵头负责本级政府财会监督协调工作机制日常工作，加强沟通协调，抓好统筹谋划和督促指导；税务、人民银行、国有资产监管、银行保险监管、证券监管等部门积极配合、密切协同。建立健全部门间财会监督政策衔接、重大问题处理、综合执法检查、监督结果运用、监督线索移送、监督信息交流等工作机制，形成监督合力，提升监督效能。建立部门与行业协会联合监管机制，推动行政监管与自律监管有机结合。相关中介机构要严格按照法律法规、准则制度进行执业，并在配合财会监督执法中提供专业意见。中介机构及其从业人员对发现的违法违规行为，应及时向主管部门、监管部门和行业协会报告。各单位应配合依法依规实施财会监督，不得拒绝、阻挠、拖延，不得提供虚假或者有重大遗漏的财会资料及信息。</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一）强化中央与地方纵向联动。压实各有关方面财会监督责任，加强上下联动。国务院财政部门加强财会监督工作的制度建设和统筹协调，牵头组织制定财会监督工作规划，明确年度监督工作重点，指导推动各地区各部门各单位组织实施。县级以上地方政府和有关部门依法依规组织开展本行政区域内财会监督工作。国务院有关部门派出机构依照法律法规规定和上级部门授权实施监督工作。地方各级政府和有关部门要畅通财会监督信息渠道，建立财会监督重大事项报告机制，及时向上一级政府和有关部门反映财会监督中发现的重大问题。</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二）推动财会监督与其他各类监督贯通协调。建立健全信息沟通、线索移送、协同监督、成果共享等工作机制。开展财会监督要自觉以党内监督为主导，探索深化贯通协调有效路径，加强与巡视巡察机构协作，建立重点监督协同、重大事项会商、线索移交移送机制，通报财会监督检查情况，研究办理巡视巡察移交的建议；加强与纪检监察机关的贯通协调，完善财会监督与纪检监察监督在贯彻落实中央八项规定精神、纠治“四风”、整治群众身边腐败和不正之风等方面要求贯通协调机制，加强监督成果共享，发现党员、监察对象涉嫌违纪或职务违法、职务犯罪的问题线索，依法依规及时移送纪检监察机关；发挥财会监督专业力量作用，选派财会业务骨干参加巡视巡察、纪委监委监督检查和审查调查。强化与人大监督、民主监督的配合协同，完善与人大监督在提高预算管理规范性、有效性等方面贯通协调机制。增强与行政监督、司法监督、审计监督、统计监督的协同性和联动性，加强信息共享，推动建立健全长效机制，形成监督合力。畅通群众监督、舆论监督渠道，健全财会监督投诉举报受理机制，完善受理、查处、跟踪、整改等制度。</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四、加大重点领域财会监督力度</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三）保障党中央、国务院重大决策部署贯彻落实。把推动党中央、国务院重大决策部署贯彻落实作为财会监督工作的首要任务。聚焦深化供给侧结构性改革，做好稳增长、稳就业、稳物价工作，保障和改善民生，防止资本无序扩张，落实财政改革举措等重大部署，综合运用检查核查、评估评价、监测监控、调查研究等方式开展财会监督，严肃查处财经领域违反中央宏观决策和治理调控要求、影响经济社会健康稳定发展的违纪违规行为，确保党中央政令畅通。</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四）强化财经纪律刚性约束。加强对财经领域公权力行使的制约和监督，严肃财经纪律。聚焦贯彻落实减税降费、党政机关过紧日子、加强基层保基本民生保工资保运转工作、规范国库管理、加强资产管理、防范债务风险等重点任务，严肃查处财政收入不真实不合规、违规兴建楼堂馆所、乱设财政专户、违规处置资产、违规新增地方政府隐性债务等突出问题，强化通报问责和处理处罚，使纪律真正成为带电的“高压线”。</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五）严厉打击财务会计违法违规行为。坚持“强穿透、堵漏洞、用重典、正风气”，从严从重查处影响恶劣的财务舞弊、会计造假案件，强化对相关责任人的追责问责。加强对国有企业、上市公司、金融企业等的财务、会计行为的监督，严肃查处财务数据造假、出具“阴阳报告”、内部监督失效等突出问题。加强对会计信息质量的监督，依法严厉打击伪造会计账簿、虚构经济业务、滥用会计准则等会计违法违规行为，持续提升会计信息质量。加强对会计师事务所、资产评估机构、代理记账机构等中介机构执业质量监督，聚焦行业突出问题，加大对无证经营、挂名执业、违规提供报告、超出胜任能力执业等违法违规行为的整治力度，强化行业日常监管和信用管理，坚决清除害群之马。</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五、保障措施</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六）加强组织领导。各地区各有关部门要强化组织领导，加强协同配合，结合实际制定具体实施方案，确保各项工作任务落地见效。将财会监督工作推进情况作为领导班子和有关领导干部考核的重要内容；对于贯彻落实财会监督决策部署不力、职责履行不到位的，要严肃追责问责。</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七）推进财会监督法治建设。健全财会监督法律法规制度，及时推动修订预算法、会计法、注册会计师法、资产评估法、财政违法行为处罚处分条例等法律法规。健全财政财务管理、资产管理等制度，完善内部控制制度体系。深化政府会计改革，完善企业会计准则体系和非营利组织会计制度，增强会计准则制度执行效果。</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八）加强财会监督队伍建设。县级以上财政部门应强化财会监督队伍和能力建设。各单位应配备与财会监督职能任务相匹配的人员力量，完善财会监督人才政策体系，加强财会监督人才培训教育，分类型、分领域建立高层次财会监督人才库，提升专业能力和综合素质。按照国家有关规定完善财会监督人才激励约束机制。</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十九）统筹推进财会监督信息化建设。深化“互联网+监督”，充分运用大数据和信息化手段，切实提升监管效能。依托全国一体化在线政务服务平台，统筹整合各地区各部门各单位有关公共数据资源，分级分类完善财会监督数据库，推进财会监督数据汇聚融合和共享共用。构建财会领域重大风险识别预警机制。</w:t>
      </w: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二十）提升财会监督工作成效。优化监督模式与方式方法，推动日常监督与专项监督、现场监督与非现场监督、线上监督与线下监督、事前事中事后监督相结合，实现监督和管理有机统一。加大对违法违规行为的处理处罚力度，大幅提高违法违规成本，推动实施联合惩戒，依法依规开展追责问责。加强财会监督结果运用，完善监督结果公告公示制度，对违反财经纪律的单位和人员，加大公开曝光力度，属于党员和公职人员的，及时向所在党组织、所在单位通报，发挥警示教育作用。</w:t>
      </w:r>
    </w:p>
    <w:p>
      <w:pPr>
        <w:keepNext w:val="0"/>
        <w:keepLines w:val="0"/>
        <w:pageBreakBefore w:val="0"/>
        <w:kinsoku/>
        <w:wordWrap/>
        <w:overflowPunct/>
        <w:topLinePunct w:val="0"/>
        <w:autoSpaceDE/>
        <w:autoSpaceDN/>
        <w:bidi w:val="0"/>
        <w:adjustRightInd w:val="0"/>
        <w:snapToGrid w:val="0"/>
        <w:spacing w:line="560" w:lineRule="exact"/>
        <w:ind w:firstLine="640"/>
        <w:jc w:val="left"/>
        <w:outlineLvl w:val="9"/>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二十一）加强宣传引导。加强财会监督法律法规政策宣传贯彻，强化财会从业人员执业操守教育。在依法合规、安全保密等前提下，大力推进财会信息公开工作，提高财会信息透明度。鼓励先行先试，强化引领示范，统筹抓好财会监督试点工作。加强宣传解读和舆论引导，积极回应社会关切，充分调动各方面积极性，营造财会监督工作良好环境。</w:t>
      </w:r>
    </w:p>
    <w:p>
      <w:pPr>
        <w:keepNext w:val="0"/>
        <w:keepLines w:val="0"/>
        <w:pageBreakBefore w:val="0"/>
        <w:kinsoku/>
        <w:wordWrap/>
        <w:overflowPunct/>
        <w:topLinePunct w:val="0"/>
        <w:autoSpaceDE/>
        <w:autoSpaceDN/>
        <w:bidi w:val="0"/>
        <w:adjustRightInd w:val="0"/>
        <w:snapToGrid w:val="0"/>
        <w:spacing w:line="560" w:lineRule="exact"/>
        <w:ind w:firstLine="640"/>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方正小标宋简体" w:cs="宋体"/>
          <w:color w:val="auto"/>
          <w:kern w:val="44"/>
          <w:sz w:val="32"/>
          <w:szCs w:val="32"/>
          <w:highlight w:val="none"/>
          <w:u w:val="none"/>
          <w:lang w:val="en-US" w:eastAsia="zh-CN" w:bidi="ar"/>
        </w:rPr>
      </w:pP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方正小标宋简体" w:cs="宋体"/>
          <w:color w:val="auto"/>
          <w:kern w:val="44"/>
          <w:sz w:val="32"/>
          <w:szCs w:val="32"/>
          <w:highlight w:val="none"/>
          <w:u w:val="none"/>
          <w:lang w:val="en-US" w:eastAsia="zh-CN" w:bidi="ar"/>
        </w:rPr>
      </w:pP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方正小标宋简体" w:cs="宋体"/>
          <w:color w:val="auto"/>
          <w:kern w:val="44"/>
          <w:sz w:val="32"/>
          <w:szCs w:val="32"/>
          <w:highlight w:val="none"/>
          <w:u w:val="none"/>
          <w:lang w:val="en-US" w:eastAsia="zh-CN" w:bidi="ar"/>
        </w:rPr>
      </w:pP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方正小标宋简体" w:cs="宋体"/>
          <w:color w:val="auto"/>
          <w:kern w:val="44"/>
          <w:sz w:val="32"/>
          <w:szCs w:val="32"/>
          <w:highlight w:val="none"/>
          <w:u w:val="none"/>
          <w:lang w:val="en-US" w:eastAsia="zh-CN" w:bidi="ar"/>
        </w:rPr>
      </w:pP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方正小标宋简体" w:cs="宋体"/>
          <w:color w:val="auto"/>
          <w:kern w:val="44"/>
          <w:sz w:val="32"/>
          <w:szCs w:val="32"/>
          <w:highlight w:val="none"/>
          <w:u w:val="none"/>
          <w:lang w:val="en-US" w:eastAsia="zh-CN" w:bidi="ar"/>
        </w:rPr>
      </w:pP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方正小标宋简体" w:cs="宋体"/>
          <w:color w:val="auto"/>
          <w:kern w:val="44"/>
          <w:sz w:val="32"/>
          <w:szCs w:val="32"/>
          <w:highlight w:val="none"/>
          <w:u w:val="none"/>
          <w:lang w:val="en-US" w:eastAsia="zh-CN" w:bidi="ar"/>
        </w:rPr>
      </w:pP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方正小标宋简体" w:cs="宋体"/>
          <w:color w:val="auto"/>
          <w:kern w:val="44"/>
          <w:sz w:val="32"/>
          <w:szCs w:val="32"/>
          <w:highlight w:val="none"/>
          <w:u w:val="none"/>
          <w:lang w:val="en-US" w:eastAsia="zh-CN" w:bidi="ar"/>
        </w:rPr>
      </w:pPr>
    </w:p>
    <w:p>
      <w:pPr>
        <w:pStyle w:val="2"/>
        <w:keepNext w:val="0"/>
        <w:keepLines w:val="0"/>
        <w:pageBreakBefore w:val="0"/>
        <w:kinsoku/>
        <w:wordWrap/>
        <w:overflowPunct/>
        <w:topLinePunct w:val="0"/>
        <w:autoSpaceDE/>
        <w:autoSpaceDN/>
        <w:bidi w:val="0"/>
        <w:spacing w:line="560" w:lineRule="exact"/>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left"/>
        <w:outlineLvl w:val="9"/>
        <w:rPr>
          <w:rFonts w:hint="eastAsia" w:ascii="Times New Roman" w:hAnsi="Times New Roman" w:eastAsia="方正小标宋简体" w:cs="宋体"/>
          <w:color w:val="auto"/>
          <w:kern w:val="44"/>
          <w:sz w:val="32"/>
          <w:szCs w:val="32"/>
          <w:highlight w:val="none"/>
          <w:u w:val="none"/>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jc w:val="center"/>
        <w:outlineLvl w:val="0"/>
        <w:rPr>
          <w:rFonts w:hint="eastAsia" w:ascii="仿宋" w:hAnsi="仿宋" w:eastAsia="仿宋" w:cs="仿宋"/>
          <w:color w:val="auto"/>
          <w:sz w:val="32"/>
          <w:szCs w:val="32"/>
          <w:u w:val="none"/>
          <w:lang w:val="en-US" w:eastAsia="zh-CN"/>
        </w:rPr>
      </w:pPr>
      <w:r>
        <w:rPr>
          <w:rFonts w:hint="eastAsia" w:ascii="Times New Roman" w:hAnsi="Times New Roman" w:eastAsia="方正小标宋简体" w:cs="宋体"/>
          <w:color w:val="auto"/>
          <w:kern w:val="44"/>
          <w:sz w:val="32"/>
          <w:szCs w:val="32"/>
          <w:highlight w:val="none"/>
          <w:u w:val="none"/>
          <w:lang w:val="en-US" w:eastAsia="zh-CN" w:bidi="ar"/>
        </w:rPr>
        <w:t>10.中共中央国务院印发《数字中国建设整体布局规划》</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Fonts w:hint="eastAsia" w:ascii="仿宋" w:hAnsi="仿宋" w:eastAsia="仿宋" w:cs="仿宋"/>
          <w:kern w:val="2"/>
          <w:sz w:val="32"/>
          <w:szCs w:val="32"/>
          <w:u w:val="none"/>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人民日报 》（ 2023年02月28日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Fonts w:hint="eastAsia" w:ascii="仿宋" w:hAnsi="仿宋" w:eastAsia="仿宋" w:cs="仿宋"/>
          <w:kern w:val="2"/>
          <w:sz w:val="32"/>
          <w:szCs w:val="32"/>
          <w:u w:val="none"/>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新华社北京2月27日电  近日，中共中央、国务院印发了《数字中国建设整体布局规划》（以下简称《规划》），并发出通知，要求各地区各部门结合实际认真贯彻落实。</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指出，建设数字中国是数字时代推进中国式现代化的重要引擎，是构筑国家竞争新优势的有力支撑。加快数字中国建设，对全面建设社会主义现代化国家、全面推进中华民族伟大复兴具有重要意义和深远影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强调，要坚持以习近平新时代中国特色社会主义思想特别是习近平总书记关于网络强国的重要思想为指导，深入贯彻党的二十大精神，坚持稳中求进工作总基调，完整、准确、全面贯彻新发展理念，加快构建新发展格局，着力推动高质量发展，统筹发展和安全，强化系统观念和底线思维，加强整体布局，按照夯实基础、赋能全局、强化能力、优化环境的战略路径，全面提升数字中国建设的整体性、系统性、协同性，促进数字经济和实体经济深度融合，以数字化驱动生产生活和治理方式变革，为以中国式现代化全面推进中华民族伟大复兴注入强大动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提出，到2025年，基本形成横向打通、纵向贯通、协调有力的一体化推进格局，数字中国建设取得重要进展。数字基础设施高效联通，数据资源规模和质量加快提升，数据要素价值有效释放，数字经济发展质量效益大幅增强，政务数字化智能化水平明显提升，数字文化建设跃上新台阶，数字社会精准化普惠化便捷化取得显著成效，数字生态文明建设取得积极进展，数字技术创新实现重大突破，应用创新全球领先，数字安全保障能力全面提升，数字治理体系更加完善，数字领域国际合作打开新局面。到2035年，数字化发展水平进入世界前列，数字中国建设取得重大成就。数字中国建设体系化布局更加科学完备，经济、政治、文化、社会、生态文明建设各领域数字化发展更加协调充分，有力支撑全面建设社会主义现代化国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明确，数字中国建设按照“2522”的整体框架进行布局，即夯实数字基础设施和数据资源体系“两大基础”，推进数字技术与经济、政治、文化、社会、生态文明建设“五位一体”深度融合，强化数字技术创新体系和数字安全屏障“两大能力”，优化数字化发展国内国际“两个环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指出，要夯实数字中国建设基础。一是打通数字基础设施大动脉。加快5G网络与千兆光网协同建设，深入推进IPv6规模部署和应用，推进移动物联网全面发展，大力推进北斗规模应用。系统优化算力基础设施布局，促进东西部算力高效互补和协同联动，引导通用数据中心、超算中心、智能计算中心、边缘数据中心等合理梯次布局。整体提升应用基础设施水平，加强传统基础设施数字化、智能化改造。二是畅通数据资源大循环。构建国家数据管理体制机制，健全各级数据统筹管理机构。推动公共数据汇聚利用，建设公共卫生、科技、教育等重要领域国家数据资源库。释放商业数据价值潜能，加快建立数据产权制度，开展数据资产计价研究，建立数据要素按价值贡献参与分配机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指出，要全面赋能经济社会发展。一是做强做优做大数字经济。培育壮大数字经济核心产业，研究制定推动数字产业高质量发展的措施，打造具有国际竞争力的数字产业集群。推动数字技术和实体经济深度融合，在农业、工业、金融、教育、医疗、交通、能源等重点领域，加快数字技术创新应用。支持数字企业发展壮大，健全大中小企业融通创新工作机制，发挥“绿灯”投资案例引导作用，推动平台企业规范健康发展。二是发展高效协同的数字政务。加快制度规则创新，完善与数字政务建设相适应的规章制度。强化数字化能力建设，促进信息系统网络互联互通、数据按需共享、业务高效协同。提升数字化服务水平，加快推进“一件事一次办”，推进线上线下融合，加强和规范政务移动互联网应用程序管理。三是打造自信繁荣的数字文化。大力发展网络文化，加强优质网络文化产品供给，引导各类平台和广大网民创作生产积极健康、向上向善的网络文化产品。推进文化数字化发展，深入实施国家文化数字化战略，建设国家文化大数据体系，形成中华文化数据库。提升数字文化服务能力，打造若干综合性数字文化展示平台，加快发展新型文化企业、文化业态、文化消费模式。四是构建普惠便捷的数字社会。促进数字公共服务普惠化，大力实施国家教育数字化战略行动，完善国家智慧教育平台，发展数字健康，规范互联网诊疗和互联网医院发展。推进数字社会治理精准化，深入实施数字乡村发展行动，以数字化赋能乡村产业发展、乡村建设和乡村治理。普及数字生活智能化，打造智慧便民生活圈、新型数字消费业态、面向未来的智能化沉浸式服务体验。五是建设绿色智慧的数字生态文明。推动生态环境智慧治理，加快构建智慧高效的生态环境信息化体系，运用数字技术推动山水林田湖草沙一体化保护和系统治理，完善自然资源三维立体“一张图”和国土空间基础信息平台，构建以数字孪生流域为核心的智慧水利体系。加快数字化绿色化协同转型。倡导绿色智慧生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指出，要强化数字中国关键能力。一是构筑自立自强的数字技术创新体系。健全社会主义市场经济条件下关键核心技术攻关新型举国体制，加强企业主导的产学研深度融合。强化企业科技创新主体地位，发挥科技型骨干企业引领支撑作用。加强知识产权保护，健全知识产权转化收益分配机制。二是筑牢可信可控的数字安全屏障。切实维护网络安全，完善网络安全法律法规和政策体系。增强数据安全保障能力，建立数据分类分级保护基础制度，健全网络数据监测预警和应急处置工作体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指出，要优化数字化发展环境。一是建设公平规范的数字治理生态。完善法律法规体系，加强立法统筹协调，研究制定数字领域立法规划，及时按程序调整不适应数字化发展的法律制度。构建技术标准体系，编制数字化标准工作指南，加快制定修订各行业数字化转型、产业交叉融合发展等应用标准。提升治理水平，健全网络综合治理体系，提升全方位多维度综合治理能力，构建科学、高效、有序的管网治网格局。净化网络空间，深入开展网络生态治理工作，推进“清朗”、“净网”系列专项行动，创新推进网络文明建设。二是构建开放共赢的数字领域国际合作格局。统筹谋划数字领域国际合作，建立多层面协同、多平台支撑、多主体参与的数字领域国际交流合作体系，高质量共建“数字丝绸之路”，积极发展“丝路电商”。拓展数字领域国际合作空间，积极参与联合国、世界贸易组织、二十国集团、亚太经合组织、金砖国家、上合组织等多边框架下的数字领域合作平台，高质量搭建数字领域开放合作新平台，积极参与数据跨境流动等相关国际规则构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规划》强调，要加强整体谋划、统筹推进，把各项任务落到实处。一是加强组织领导。坚持和加强党对数字中国建设的全面领导，在党中央集中统一领导下，中央网络安全和信息化委员会加强对数字中国建设的统筹协调、整体推进、督促落实。充分发挥地方党委网络安全和信息化委员会作用，健全议事协调机制，将数字化发展摆在本地区工作重要位置，切实落实责任。各有关部门按照职责分工，完善政策措施，强化资源整合和力量协同，形成工作合力。二是健全体制机制。建立健全数字中国建设统筹协调机制，及时研究解决数字化发展重大问题，推动跨部门协同和上下联动，抓好重大任务和重大工程的督促落实。开展数字中国发展监测评估。将数字中国建设工作情况作为对有关党政领导干部考核评价的参考。三是保障资金投入。创新资金扶持方式，加强对各类资金的统筹引导。发挥国家产融合作平台等作用，引导金融资源支持数字化发展。鼓励引导资本规范参与数字中国建设，构建社会资本有效参与的投融资体系。四是强化人才支撑。增强领导干部和公务员数字思维、数字认知、数字技能。统筹布局一批数字领域学科专业点，培养创新型、应用型、复合型人才。构建覆盖全民、城乡融合的数字素养与技能发展培育体系。五是营造良好氛围。推动高等学校、研究机构、企业等共同参与数字中国建设，建立一批数字中国研究基地。统筹开展数字中国建设综合试点工作，综合集成推进改革试验。办好数字中国建设峰会等重大活动，举办数字领域高规格国内国际系列赛事，推动数字化理念深入人心，营造全社会共同关注、积极参与数字中国建设的良好氛围。</w:t>
      </w:r>
    </w:p>
    <w:p>
      <w:pPr>
        <w:pStyle w:val="2"/>
        <w:keepNext w:val="0"/>
        <w:keepLines w:val="0"/>
        <w:pageBreakBefore w:val="0"/>
        <w:tabs>
          <w:tab w:val="left" w:pos="5522"/>
        </w:tabs>
        <w:kinsoku/>
        <w:wordWrap/>
        <w:overflowPunct/>
        <w:topLinePunct w:val="0"/>
        <w:autoSpaceDE/>
        <w:autoSpaceDN/>
        <w:bidi w:val="0"/>
        <w:adjustRightInd/>
        <w:snapToGrid/>
        <w:spacing w:after="0" w:line="560" w:lineRule="exact"/>
        <w:rPr>
          <w:rFonts w:hint="eastAsia" w:ascii="仿宋" w:hAnsi="仿宋" w:eastAsia="仿宋" w:cs="仿宋"/>
          <w:kern w:val="2"/>
          <w:sz w:val="32"/>
          <w:szCs w:val="32"/>
          <w:u w:val="none"/>
          <w:lang w:val="en-US" w:eastAsia="zh-CN" w:bidi="ar-SA"/>
        </w:rPr>
      </w:pPr>
    </w:p>
    <w:p>
      <w:pPr>
        <w:pStyle w:val="2"/>
        <w:keepNext w:val="0"/>
        <w:keepLines w:val="0"/>
        <w:pageBreakBefore w:val="0"/>
        <w:tabs>
          <w:tab w:val="left" w:pos="5522"/>
        </w:tabs>
        <w:kinsoku/>
        <w:wordWrap/>
        <w:overflowPunct/>
        <w:topLinePunct w:val="0"/>
        <w:autoSpaceDE/>
        <w:autoSpaceDN/>
        <w:bidi w:val="0"/>
        <w:adjustRightInd/>
        <w:snapToGrid/>
        <w:spacing w:after="0" w:line="560" w:lineRule="exact"/>
        <w:rPr>
          <w:rFonts w:hint="eastAsia" w:ascii="仿宋" w:hAnsi="仿宋" w:eastAsia="仿宋" w:cs="仿宋"/>
          <w:kern w:val="2"/>
          <w:sz w:val="32"/>
          <w:szCs w:val="32"/>
          <w:u w:val="none"/>
          <w:lang w:val="en-US" w:eastAsia="zh-CN" w:bidi="ar-SA"/>
        </w:rPr>
      </w:pPr>
    </w:p>
    <w:p>
      <w:pPr>
        <w:pStyle w:val="2"/>
        <w:keepNext w:val="0"/>
        <w:keepLines w:val="0"/>
        <w:pageBreakBefore w:val="0"/>
        <w:tabs>
          <w:tab w:val="left" w:pos="5522"/>
        </w:tabs>
        <w:kinsoku/>
        <w:wordWrap/>
        <w:overflowPunct/>
        <w:topLinePunct w:val="0"/>
        <w:autoSpaceDE/>
        <w:autoSpaceDN/>
        <w:bidi w:val="0"/>
        <w:adjustRightInd/>
        <w:snapToGrid/>
        <w:spacing w:after="0" w:line="560" w:lineRule="exact"/>
        <w:rPr>
          <w:rFonts w:hint="eastAsia" w:ascii="仿宋" w:hAnsi="仿宋" w:eastAsia="仿宋" w:cs="仿宋"/>
          <w:kern w:val="2"/>
          <w:sz w:val="32"/>
          <w:szCs w:val="32"/>
          <w:u w:val="none"/>
          <w:lang w:val="en-US" w:eastAsia="zh-CN" w:bidi="ar-SA"/>
        </w:rPr>
      </w:pPr>
    </w:p>
    <w:p>
      <w:pPr>
        <w:pStyle w:val="2"/>
        <w:keepNext w:val="0"/>
        <w:keepLines w:val="0"/>
        <w:pageBreakBefore w:val="0"/>
        <w:tabs>
          <w:tab w:val="left" w:pos="5522"/>
        </w:tabs>
        <w:kinsoku/>
        <w:wordWrap/>
        <w:overflowPunct/>
        <w:topLinePunct w:val="0"/>
        <w:autoSpaceDE/>
        <w:autoSpaceDN/>
        <w:bidi w:val="0"/>
        <w:adjustRightInd/>
        <w:snapToGrid/>
        <w:spacing w:after="0" w:line="560" w:lineRule="exact"/>
        <w:rPr>
          <w:rFonts w:hint="eastAsia" w:ascii="仿宋" w:hAnsi="仿宋" w:eastAsia="仿宋" w:cs="仿宋"/>
          <w:kern w:val="2"/>
          <w:sz w:val="32"/>
          <w:szCs w:val="32"/>
          <w:u w:val="none"/>
          <w:lang w:val="en-US" w:eastAsia="zh-CN" w:bidi="ar-SA"/>
        </w:rPr>
      </w:pPr>
    </w:p>
    <w:p>
      <w:pPr>
        <w:pStyle w:val="2"/>
        <w:keepNext w:val="0"/>
        <w:keepLines w:val="0"/>
        <w:pageBreakBefore w:val="0"/>
        <w:tabs>
          <w:tab w:val="left" w:pos="5522"/>
        </w:tabs>
        <w:kinsoku/>
        <w:wordWrap/>
        <w:overflowPunct/>
        <w:topLinePunct w:val="0"/>
        <w:autoSpaceDE/>
        <w:autoSpaceDN/>
        <w:bidi w:val="0"/>
        <w:adjustRightInd/>
        <w:snapToGrid/>
        <w:spacing w:after="0" w:line="560" w:lineRule="exact"/>
        <w:rPr>
          <w:rFonts w:hint="eastAsia" w:ascii="仿宋" w:hAnsi="仿宋" w:eastAsia="仿宋" w:cs="仿宋"/>
          <w:kern w:val="2"/>
          <w:sz w:val="32"/>
          <w:szCs w:val="32"/>
          <w:u w:val="none"/>
          <w:lang w:val="en-US" w:eastAsia="zh-CN" w:bidi="ar-SA"/>
        </w:rPr>
      </w:pPr>
    </w:p>
    <w:p>
      <w:pPr>
        <w:pStyle w:val="2"/>
        <w:keepNext w:val="0"/>
        <w:keepLines w:val="0"/>
        <w:pageBreakBefore w:val="0"/>
        <w:tabs>
          <w:tab w:val="left" w:pos="5522"/>
        </w:tabs>
        <w:kinsoku/>
        <w:wordWrap/>
        <w:overflowPunct/>
        <w:topLinePunct w:val="0"/>
        <w:autoSpaceDE/>
        <w:autoSpaceDN/>
        <w:bidi w:val="0"/>
        <w:adjustRightInd/>
        <w:snapToGrid/>
        <w:spacing w:after="0" w:line="560" w:lineRule="exact"/>
        <w:rPr>
          <w:rFonts w:hint="eastAsia" w:ascii="仿宋" w:hAnsi="仿宋" w:eastAsia="仿宋" w:cs="仿宋"/>
          <w:kern w:val="2"/>
          <w:sz w:val="32"/>
          <w:szCs w:val="32"/>
          <w:u w:val="none"/>
          <w:lang w:val="en-US" w:eastAsia="zh-CN" w:bidi="ar-SA"/>
        </w:rPr>
      </w:pPr>
    </w:p>
    <w:p>
      <w:pPr>
        <w:pStyle w:val="2"/>
        <w:keepNext w:val="0"/>
        <w:keepLines w:val="0"/>
        <w:pageBreakBefore w:val="0"/>
        <w:tabs>
          <w:tab w:val="left" w:pos="5522"/>
        </w:tabs>
        <w:kinsoku/>
        <w:wordWrap/>
        <w:overflowPunct/>
        <w:topLinePunct w:val="0"/>
        <w:autoSpaceDE/>
        <w:autoSpaceDN/>
        <w:bidi w:val="0"/>
        <w:adjustRightInd/>
        <w:snapToGrid/>
        <w:spacing w:after="0" w:line="560" w:lineRule="exact"/>
        <w:rPr>
          <w:rFonts w:hint="eastAsia" w:ascii="仿宋" w:hAnsi="仿宋" w:eastAsia="仿宋" w:cs="仿宋"/>
          <w:kern w:val="2"/>
          <w:sz w:val="32"/>
          <w:szCs w:val="32"/>
          <w:u w:val="none"/>
          <w:lang w:val="en-US" w:eastAsia="zh-CN" w:bidi="ar-SA"/>
        </w:rPr>
      </w:pPr>
    </w:p>
    <w:p>
      <w:pPr>
        <w:keepNext w:val="0"/>
        <w:keepLines w:val="0"/>
        <w:pageBreakBefore w:val="0"/>
        <w:kinsoku/>
        <w:wordWrap/>
        <w:overflowPunct/>
        <w:topLinePunct w:val="0"/>
        <w:autoSpaceDE/>
        <w:autoSpaceDN/>
        <w:bidi w:val="0"/>
        <w:adjustRightInd w:val="0"/>
        <w:snapToGrid w:val="0"/>
        <w:spacing w:line="560" w:lineRule="exact"/>
        <w:jc w:val="center"/>
        <w:outlineLvl w:val="0"/>
        <w:rPr>
          <w:rFonts w:hint="eastAsia" w:ascii="Times New Roman" w:hAnsi="Times New Roman" w:eastAsia="方正小标宋简体" w:cs="宋体"/>
          <w:color w:val="auto"/>
          <w:kern w:val="44"/>
          <w:sz w:val="32"/>
          <w:szCs w:val="32"/>
          <w:highlight w:val="none"/>
          <w:u w:val="none"/>
          <w:lang w:val="en-US" w:eastAsia="zh-CN" w:bidi="ar"/>
        </w:rPr>
      </w:pPr>
      <w:r>
        <w:rPr>
          <w:rFonts w:hint="eastAsia" w:ascii="Times New Roman" w:hAnsi="Times New Roman" w:eastAsia="方正小标宋简体" w:cs="宋体"/>
          <w:color w:val="auto"/>
          <w:kern w:val="44"/>
          <w:sz w:val="32"/>
          <w:szCs w:val="32"/>
          <w:highlight w:val="none"/>
          <w:u w:val="none"/>
          <w:lang w:val="en-US" w:eastAsia="zh-CN" w:bidi="ar"/>
        </w:rPr>
        <w:t>11中共中央国务院印发《党和国家机构改革方案》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Fonts w:hint="eastAsia" w:ascii="仿宋" w:hAnsi="仿宋" w:eastAsia="仿宋" w:cs="仿宋"/>
          <w:kern w:val="2"/>
          <w:sz w:val="32"/>
          <w:szCs w:val="32"/>
          <w:u w:val="none"/>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人民日报 》（ 2023年03月17日   第 01 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Fonts w:hint="eastAsia" w:ascii="仿宋" w:hAnsi="仿宋" w:eastAsia="仿宋" w:cs="仿宋"/>
          <w:kern w:val="2"/>
          <w:sz w:val="32"/>
          <w:szCs w:val="32"/>
          <w:u w:val="none"/>
          <w:lang w:val="en-US" w:eastAsia="zh-CN" w:bidi="ar-SA"/>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新华社北京3月16日电  近日，中共中央、国务院印发了《党和国家机构改革方案》，并发出通知，要求各地区各部门结合实际认真贯彻落实。</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《党和国家机构改革方案》全文如下。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面对新时代新征程提出的新任务，党和国家机构设置和职能配置同全面建设社会主义现代化国家、全面推进中华民族伟大复兴的要求还不完全适应，同实现国家治理体系和治理能力现代化的要求还不完全适应，同构建高水平社会主义市场经济体制的要求还不完全适应，需要在巩固党和国家机构改革成果的基础上继续深化改革，对体制机制和机构职责进行调整和完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深化党和国家机构改革，目标是构建系统完备、科学规范、运行高效的党和国家机构职能体系。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w:t>
      </w:r>
      <w:r>
        <w:rPr>
          <w:rStyle w:val="20"/>
          <w:rFonts w:hint="eastAsia" w:ascii="仿宋" w:hAnsi="仿宋" w:eastAsia="仿宋" w:cs="仿宋"/>
          <w:i w:val="0"/>
          <w:color w:val="333333"/>
          <w:sz w:val="32"/>
          <w:szCs w:val="32"/>
          <w:u w:val="none"/>
        </w:rPr>
        <w:t>一、深化党中央机构改革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一）组建中央金融委员会。加强党中央对金融工作的集中统一领导，负责金融稳定和发展的顶层设计、统筹协调、整体推进、督促落实，研究审议金融领域重大政策、重大问题等，作为党中央决策议事协调机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设立中央金融委员会办公室，作为中央金融委员会的办事机构，列入党中央机构序列。</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不再保留国务院金融稳定发展委员会及其办事机构。将国务院金融稳定发展委员会办公室职责划入中央金融委员会办公室。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（二）组建中央金融工作委员会。统一领导金融系统党的工作，指导金融系统党的政治建设、思想建设、组织建设、作风建设、纪律建设等，作为党中央派出机关，同中央金融委员会办公室合署办公。</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将中央和国家机关工作委员会的金融系统党的建设职责划入中央金融工作委员会。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三）组建中央科技委员会。加强党中央对科技工作的集中统一领导，统筹推进国家创新体系建设和科技体制改革，研究审议国家科技发展重大战略、重大规划、重大政策，统筹解决科技领域战略性、方向性、全局性重大问题，研究确定国家战略科技任务和重大科研项目，统筹布局国家实验室等战略科技力量，统筹协调军民科技融合发展等，作为党中央决策议事协调机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中央科技委员会办事机构职责由重组后的科学技术部整体承担。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保留国家科技咨询委员会，服务党中央重大科技决策，对中央科技委员会负责并报告工作。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国家科技伦理委员会作为中央科技委员会领导下的学术性、专业性专家委员会，不再作为国务院议事协调机构。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不再保留中央国家实验室建设领导小组、国家科技领导小组、国家科技体制改革和创新体系建设领导小组、国家中长期科技发展规划工作领导小组及其办公室。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省级党委科技领域议事协调机构结合实际组建。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四）组建中央社会工作部。负责统筹指导人民信访工作，指导人民建议征集工作，统筹推进党建引领基层治理和基层政权建设，统一领导全国性行业协会商会党的工作，协调推动行业协会商会深化改革和转型发展，指导混合所有制企业、非公有制企业和新经济组织、新社会组织、新就业群体党建工作，指导社会工作人才队伍建设等，作为党中央职能部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中央社会工作部统一领导国家信访局。国家信访局由国务院办公厅管理的国家局调整为国务院直属机构。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中央社会工作部划入民政部的指导城乡社区治理体系和治理能力建设、拟订社会工作政策等职责，统筹推进党建引领基层治理和基层政权建设。划入中央和国家机关工作委员会、国务院国有资产监督管理委员会党委归口承担的全国性行业协会商会党的建设职责，划入中央精神文明建设指导委员会办公室的全国志愿服务工作的统筹规划、协调指导、督促检查等职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省、市、县级党委组建社会工作部门，相应划入同级党委组织部门的“两新”工委职责。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五）组建中央港澳工作办公室。承担在贯彻“一国两制”方针、落实中央全面管治权、依法治港治澳、维护国家安全、保障民生福祉、支持港澳融入国家发展大局等方面的调查研究、统筹协调、督促落实职责，在国务院港澳事务办公室基础上组建，作为党中央办事机构，保留国务院港澳事务办公室牌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不再保留单设的国务院港澳事务办公室。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w:t>
      </w:r>
      <w:r>
        <w:rPr>
          <w:rStyle w:val="20"/>
          <w:rFonts w:hint="eastAsia" w:ascii="仿宋" w:hAnsi="仿宋" w:eastAsia="仿宋" w:cs="仿宋"/>
          <w:i w:val="0"/>
          <w:color w:val="333333"/>
          <w:sz w:val="32"/>
          <w:szCs w:val="32"/>
          <w:u w:val="none"/>
        </w:rPr>
        <w:t>二、深化全国人大机构改革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六）组建全国人大常委会代表工作委员会。负责全国人大代表名额分配、资格审查、联络服务有关工作，指导协调代表集中视察、专题调研、联系群众有关工作，统筹管理全国人大代表议案建议工作，负责全国人大代表履职监督管理，统筹全国人大代表学习培训工作，指导省级人大常委会代表工作等，承担全国人大常委会代表资格审查委员会的具体工作，作为全国人大常委会的工作委员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w:t>
      </w:r>
      <w:r>
        <w:rPr>
          <w:rStyle w:val="20"/>
          <w:rFonts w:hint="eastAsia" w:ascii="仿宋" w:hAnsi="仿宋" w:eastAsia="仿宋" w:cs="仿宋"/>
          <w:i w:val="0"/>
          <w:color w:val="333333"/>
          <w:sz w:val="32"/>
          <w:szCs w:val="32"/>
          <w:u w:val="none"/>
        </w:rPr>
        <w:t>三、深化国务院机构改革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七）重新组建科学技术部。加强科学技术部推动健全新型举国体制、优化科技创新全链条管理、促进科技成果转化、促进科技和经济社会发展相结合等职能，强化战略规划、体制改革、资源统筹、综合协调、政策法规、督促检查等宏观管理职责，保留国家基础研究和应用基础研究、国家实验室建设、国家科技重大专项、国家技术转移体系建设、科技成果转移转化和产学研结合、区域科技创新体系建设、科技监督评价体系建设、科研诚信建设、国际科技合作、科技人才队伍建设、国家科技评奖等相关职责，仍作为国务院组成部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将科学技术部的组织拟订科技促进农业农村发展规划和政策、指导农村科技进步职责划入农业农村部。将科学技术部的组织拟订科技促进社会发展规划和政策职责分别划入国家发展和改革委员会、生态环境部、国家卫生健康委员会等部门。将科学技术部的组织拟订高新技术发展及产业化规划和政策，指导国家自主创新示范区、国家高新技术产业开发区等科技园区建设，指导科技服务业、技术市场、科技中介组织发展等职责划入工业和信息化部。将科学技术部的负责引进国外智力工作职责划入人力资源和社会保障部，在人力资源和社会保障部加挂国家外国专家局牌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深化财政科技经费分配使用机制改革，完善中央财政科技计划执行和专业机构管理体制，调整科学技术部的中央财政科技计划（专项、基金等）协调管理、科研项目资金协调评估等职责，将科学技术部所属中国农村技术开发中心划入农业农村部，中国生物技术发展中心划入国家卫生健康委员会，中国21世纪议程管理中心、科学技术部高技术研究发展中心划入国家自然科学基金委员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国家自然科学基金委员会仍由科学技术部管理。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科学技术部不再保留国家外国专家局牌子。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地方政府科技部门职责结合实际进行调整。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八）组建国家金融监督管理总局。统一负责除证券业之外的金融业监管，强化机构监管、行为监管、功能监管、穿透式监管、持续监管，统筹负责金融消费者权益保护，加强风险管理和防范处置，依法查处违法违规行为，作为国务院直属机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国家金融监督管理总局在中国银行保险监督管理委员会基础上组建，将中国人民银行对金融控股公司等金融集团的日常监管职责、有关金融消费者保护职责，中国证券监督管理委员会的投资者保护职责划入国家金融监督管理总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不再保留中国银行保险监督管理委员会。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九）深化地方金融监管体制改革。建立以中央金融管理部门地方派出机构为主的地方金融监管体制，统筹优化中央金融管理部门地方派出机构设置和力量配备。地方政府设立的金融监管机构专司监管职责，不再加挂金融工作局、金融办公室等牌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中国证券监督管理委员会调整为国务院直属机构。中国证券监督管理委员会由国务院直属事业单位调整为国务院直属机构，强化资本市场监管职责，划入国家发展和改革委员会的企业债券发行审核职责，由中国证券监督管理委员会统一负责公司（企业）债券发行审核工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一）统筹推进中国人民银行分支机构改革。撤销中国人民银行大区分行及分行营业管理部、总行直属营业管理部和省会城市中心支行，在31个省（自治区、直辖市）设立省级分行，在深圳、大连、宁波、青岛、厦门设立计划单列市分行。中国人民银行北京分行保留中国人民银行营业管理部牌子，中国人民银行上海分行与中国人民银行上海总部合署办公。</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不再保留中国人民银行县（市）支行，相关职能上收至中国人民银行地（市）中心支行。对边境或外贸结售汇业务量大的地区，可根据工作需要，采取中国人民银行地（市）中心支行派出机构方式履行相关管理服务职能。</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二）完善国有金融资本管理体制。按照国有金融资本出资人相关管理规定，将中央金融管理部门管理的市场经营类机构剥离，相关国有金融资产划入国有金融资本受托管理机构，由其根据国务院授权统一履行出资人职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三）加强金融管理部门工作人员统一规范管理。中国人民银行、国家金融监督管理总局、中国证券监督管理委员会、国家外汇管理局及其分支机构、派出机构均使用行政编制，工作人员纳入国家公务员统一规范管理，执行国家公务员工资待遇标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（十四）组建国家数据局。负责协调推进数据基础制度建设，统筹数据资源整合共享和开发利用，统筹推进数字中国、数字经济、数字社会规划和建设等，由国家发展和改革委员会管理。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将中央网络安全和信息化委员会办公室承担的研究拟订数字中国建设方案、协调推动公共服务和社会治理信息化、协调促进智慧城市建设、协调国家重要信息资源开发利用与共享、推动信息资源跨行业跨部门互联互通等职责，国家发展和改革委员会承担的统筹推进数字经济发展、组织实施国家大数据战略、推进数据要素基础制度建设、推进数字基础设施布局建设等职责划入国家数据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省级政府数据管理机构结合实际组建。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五）优化农业农村部职责。为统筹抓好以乡村振兴为重心的“三农”各项工作，加快建设农业强国，将国家乡村振兴局的牵头开展防止返贫监测和帮扶，组织拟订乡村振兴重点帮扶县和重点地区帮扶政策，组织开展东西部协作、对口支援、社会帮扶，研究提出中央财政衔接推进乡村振兴相关资金分配建议方案并指导、监督资金使用，推动乡村帮扶产业发展，推动农村社会事业和公共服务发展等职责划入农业农村部，在农业农村部加挂国家乡村振兴局牌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全国脱贫攻坚目标任务完成后的过渡期内，有关帮扶政策、财政支持、项目安排保持总体稳定，资金项目相对独立运行管理。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不再保留单设的国家乡村振兴局。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省、市、县级乡村振兴机构职责划入同级农业农村部门。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六）完善老龄工作体制。实施积极应对人口老龄化国家战略，推动实现全体老年人享有基本养老服务，将国家卫生健康委员会的组织拟订并协调落实应对人口老龄化政策措施、承担全国老龄工作委员会的具体工作等职责划入民政部。全国老龄工作委员会办公室改设在民政部，强化其综合协调、督促指导、组织推进老龄事业发展职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中国老龄协会改由民政部代管。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七）完善知识产权管理体制。加快推进知识产权强国建设，全面提升知识产权创造、运用、保护、管理和服务水平，将国家知识产权局由国家市场监督管理总局管理的国家局调整为国务院直属机构。商标、专利等领域执法职责继续由市场监管综合执法队伍承担，相关执法工作接受国家知识产权局专业指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w:t>
      </w:r>
      <w:r>
        <w:rPr>
          <w:rStyle w:val="20"/>
          <w:rFonts w:hint="eastAsia" w:ascii="仿宋" w:hAnsi="仿宋" w:eastAsia="仿宋" w:cs="仿宋"/>
          <w:i w:val="0"/>
          <w:color w:val="333333"/>
          <w:sz w:val="32"/>
          <w:szCs w:val="32"/>
          <w:u w:val="none"/>
        </w:rPr>
        <w:t>四、深化全国政协机构改革</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八）优化全国政协界别设置。全国政协界别增设“环境资源界”。将“中国共产主义青年团”和“中华全国青年联合会”界别整合，设立“中国共产主义青年团和中华全国青年联合会”界别。优化“特别邀请人士”界别委员构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w:t>
      </w:r>
      <w:r>
        <w:rPr>
          <w:rStyle w:val="20"/>
          <w:rFonts w:hint="eastAsia" w:ascii="仿宋" w:hAnsi="仿宋" w:eastAsia="仿宋" w:cs="仿宋"/>
          <w:i w:val="0"/>
          <w:color w:val="333333"/>
          <w:sz w:val="32"/>
          <w:szCs w:val="32"/>
          <w:u w:val="none"/>
        </w:rPr>
        <w:t>五、优化机构编制资源配置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十九）精减中央和国家机关人员编制。中央和国家机关各部门人员编制统一按照5%的比例进行精减，收回的编制主要用于加强重点领域和重要工作。中央垂管派出机构、驻外机构不纳入统一精减范围，根据行业和系统实际，盘活用好存量编制资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地方党政机关人员编制精减工作，由各省（自治区、直辖市）党委结合实际研究确定。县、乡两级不作精减要求。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落实工作责任，不折不扣把机构改革任务落到实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Fonts w:hint="eastAsia" w:ascii="仿宋" w:hAnsi="仿宋" w:eastAsia="仿宋" w:cs="仿宋"/>
          <w:sz w:val="32"/>
          <w:szCs w:val="32"/>
          <w:u w:val="none"/>
        </w:rPr>
      </w:pPr>
      <w:r>
        <w:rPr>
          <w:rFonts w:hint="eastAsia" w:ascii="仿宋" w:hAnsi="仿宋" w:eastAsia="仿宋" w:cs="仿宋"/>
          <w:i w:val="0"/>
          <w:color w:val="333333"/>
          <w:sz w:val="32"/>
          <w:szCs w:val="32"/>
          <w:u w:val="none"/>
        </w:rPr>
        <w:t>　　在中央政治局常委会领导下，中央全面深化改革委员会统筹党和国家机构改革组织实施工作。地方机构改革由省级党委统一领导，改革方案报党中央备案。中央层面的改革任务力争在2023年年底前完成，地方层面的改革任务力争在2024年年底前完成。推进机构改革情况和遇到的重大问题及时向党中央请示报告。</w:t>
      </w:r>
    </w:p>
    <w:p>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FC1DFDB7-E087-4720-86BF-C2FB565578F2}"/>
  </w:font>
  <w:font w:name="仿宋">
    <w:panose1 w:val="02010609060101010101"/>
    <w:charset w:val="86"/>
    <w:family w:val="auto"/>
    <w:pitch w:val="default"/>
    <w:sig w:usb0="800002BF" w:usb1="38CF7CFA" w:usb2="00000016" w:usb3="00000000" w:csb0="00040001" w:csb1="00000000"/>
    <w:embedRegular r:id="rId2" w:fontKey="{A12F018A-D4A6-4EF0-96F5-078BF818C7DE}"/>
  </w:font>
  <w:font w:name="方正小标宋简体">
    <w:panose1 w:val="02000000000000000000"/>
    <w:charset w:val="86"/>
    <w:family w:val="auto"/>
    <w:pitch w:val="default"/>
    <w:sig w:usb0="00000001" w:usb1="08000000" w:usb2="00000000" w:usb3="00000000" w:csb0="00040000" w:csb1="00000000"/>
    <w:embedRegular r:id="rId3" w:fontKey="{8F3C716B-B1F1-4CA4-A764-8FF58463EE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widowControl/>
      <w:rPr>
        <w:rStyle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GY0ZDQ4OGNmM2UzMzVjNmQzM2U1OTg3ZDEyNTYifQ=="/>
  </w:docVars>
  <w:rsids>
    <w:rsidRoot w:val="5CD739AB"/>
    <w:rsid w:val="00060651"/>
    <w:rsid w:val="000D535E"/>
    <w:rsid w:val="001E04FC"/>
    <w:rsid w:val="002609CF"/>
    <w:rsid w:val="002E2BF5"/>
    <w:rsid w:val="003E1647"/>
    <w:rsid w:val="004642C8"/>
    <w:rsid w:val="004C5B72"/>
    <w:rsid w:val="0059066D"/>
    <w:rsid w:val="006624CD"/>
    <w:rsid w:val="00C02DC9"/>
    <w:rsid w:val="00C70A96"/>
    <w:rsid w:val="00CA27B1"/>
    <w:rsid w:val="00CA795B"/>
    <w:rsid w:val="00D04F40"/>
    <w:rsid w:val="00EB1C0E"/>
    <w:rsid w:val="00F33C46"/>
    <w:rsid w:val="00F72CA9"/>
    <w:rsid w:val="00FF091D"/>
    <w:rsid w:val="01B159B3"/>
    <w:rsid w:val="01C020E0"/>
    <w:rsid w:val="02302860"/>
    <w:rsid w:val="02385327"/>
    <w:rsid w:val="023F4A0A"/>
    <w:rsid w:val="02B0197D"/>
    <w:rsid w:val="02D47843"/>
    <w:rsid w:val="02D76B38"/>
    <w:rsid w:val="0302757F"/>
    <w:rsid w:val="03634DCC"/>
    <w:rsid w:val="03E813E8"/>
    <w:rsid w:val="040F08E5"/>
    <w:rsid w:val="043F47DC"/>
    <w:rsid w:val="04530B13"/>
    <w:rsid w:val="046647CA"/>
    <w:rsid w:val="0486237A"/>
    <w:rsid w:val="04916A44"/>
    <w:rsid w:val="04A854FE"/>
    <w:rsid w:val="04B05649"/>
    <w:rsid w:val="04F03229"/>
    <w:rsid w:val="05057A56"/>
    <w:rsid w:val="052F0D1D"/>
    <w:rsid w:val="054D3951"/>
    <w:rsid w:val="06F11143"/>
    <w:rsid w:val="071B3237"/>
    <w:rsid w:val="07AD6528"/>
    <w:rsid w:val="07B60071"/>
    <w:rsid w:val="07D251CD"/>
    <w:rsid w:val="07F278A7"/>
    <w:rsid w:val="07F554DC"/>
    <w:rsid w:val="08210BB8"/>
    <w:rsid w:val="08413C11"/>
    <w:rsid w:val="089F438C"/>
    <w:rsid w:val="08CF29CC"/>
    <w:rsid w:val="08D64BC4"/>
    <w:rsid w:val="09013BC6"/>
    <w:rsid w:val="0912333B"/>
    <w:rsid w:val="095A3ACF"/>
    <w:rsid w:val="09A1009E"/>
    <w:rsid w:val="09D05F71"/>
    <w:rsid w:val="09F352D2"/>
    <w:rsid w:val="0ABE696D"/>
    <w:rsid w:val="0AEA78F0"/>
    <w:rsid w:val="0B574148"/>
    <w:rsid w:val="0B7F281D"/>
    <w:rsid w:val="0B923CFA"/>
    <w:rsid w:val="0C606584"/>
    <w:rsid w:val="0CC80FA6"/>
    <w:rsid w:val="0D4D2EA3"/>
    <w:rsid w:val="0D710EDA"/>
    <w:rsid w:val="0D9C5A2C"/>
    <w:rsid w:val="0E0D4661"/>
    <w:rsid w:val="0EED5C35"/>
    <w:rsid w:val="0EF00964"/>
    <w:rsid w:val="0EF47168"/>
    <w:rsid w:val="0F522482"/>
    <w:rsid w:val="0F5D461F"/>
    <w:rsid w:val="0F811E7B"/>
    <w:rsid w:val="0F961150"/>
    <w:rsid w:val="0F9D0EBF"/>
    <w:rsid w:val="0FEB2B7C"/>
    <w:rsid w:val="1010362B"/>
    <w:rsid w:val="103243E6"/>
    <w:rsid w:val="103F3D25"/>
    <w:rsid w:val="10957FCC"/>
    <w:rsid w:val="10E4012E"/>
    <w:rsid w:val="11203689"/>
    <w:rsid w:val="1125061F"/>
    <w:rsid w:val="112A7E33"/>
    <w:rsid w:val="114120FD"/>
    <w:rsid w:val="11427103"/>
    <w:rsid w:val="11CD7B05"/>
    <w:rsid w:val="11E06418"/>
    <w:rsid w:val="11EA3E28"/>
    <w:rsid w:val="12391B84"/>
    <w:rsid w:val="126D2DCB"/>
    <w:rsid w:val="12EF01AE"/>
    <w:rsid w:val="132F2FA5"/>
    <w:rsid w:val="13836796"/>
    <w:rsid w:val="13876802"/>
    <w:rsid w:val="13F038A7"/>
    <w:rsid w:val="13F866C4"/>
    <w:rsid w:val="156D473C"/>
    <w:rsid w:val="15E11B06"/>
    <w:rsid w:val="16104584"/>
    <w:rsid w:val="16E440C5"/>
    <w:rsid w:val="16E931ED"/>
    <w:rsid w:val="16F630D2"/>
    <w:rsid w:val="17D662A4"/>
    <w:rsid w:val="17F05262"/>
    <w:rsid w:val="18BF06CD"/>
    <w:rsid w:val="18BF1EA7"/>
    <w:rsid w:val="18C52625"/>
    <w:rsid w:val="194A30C1"/>
    <w:rsid w:val="1B261550"/>
    <w:rsid w:val="1B353FAC"/>
    <w:rsid w:val="1B4338EB"/>
    <w:rsid w:val="1B6A0A86"/>
    <w:rsid w:val="1C3C591B"/>
    <w:rsid w:val="1C3D394F"/>
    <w:rsid w:val="1CDA1AD5"/>
    <w:rsid w:val="1CF459CE"/>
    <w:rsid w:val="1D303373"/>
    <w:rsid w:val="1D3D6B79"/>
    <w:rsid w:val="1DB82D55"/>
    <w:rsid w:val="1DC946A5"/>
    <w:rsid w:val="1DF27029"/>
    <w:rsid w:val="1F1D60AD"/>
    <w:rsid w:val="1F605601"/>
    <w:rsid w:val="1F844BC6"/>
    <w:rsid w:val="1F884DA0"/>
    <w:rsid w:val="1FFD40E4"/>
    <w:rsid w:val="200D4B54"/>
    <w:rsid w:val="20196837"/>
    <w:rsid w:val="20546AD4"/>
    <w:rsid w:val="20971121"/>
    <w:rsid w:val="20CE712B"/>
    <w:rsid w:val="20D56AEE"/>
    <w:rsid w:val="20F02932"/>
    <w:rsid w:val="218A5DEA"/>
    <w:rsid w:val="21D0720A"/>
    <w:rsid w:val="21DE2EF3"/>
    <w:rsid w:val="21F7445F"/>
    <w:rsid w:val="220418FF"/>
    <w:rsid w:val="22236E86"/>
    <w:rsid w:val="22665FC1"/>
    <w:rsid w:val="22B11316"/>
    <w:rsid w:val="22EC2A56"/>
    <w:rsid w:val="232B7CD1"/>
    <w:rsid w:val="23BC326A"/>
    <w:rsid w:val="23FC30FE"/>
    <w:rsid w:val="24110CBA"/>
    <w:rsid w:val="243D58B4"/>
    <w:rsid w:val="24447687"/>
    <w:rsid w:val="24AA621B"/>
    <w:rsid w:val="255829FE"/>
    <w:rsid w:val="261B2145"/>
    <w:rsid w:val="261B6CEE"/>
    <w:rsid w:val="267A78CB"/>
    <w:rsid w:val="26EB3159"/>
    <w:rsid w:val="2742164C"/>
    <w:rsid w:val="27CE6EBC"/>
    <w:rsid w:val="27E023AF"/>
    <w:rsid w:val="28180C8B"/>
    <w:rsid w:val="282E6701"/>
    <w:rsid w:val="28834662"/>
    <w:rsid w:val="28891D34"/>
    <w:rsid w:val="28894114"/>
    <w:rsid w:val="294D0EFD"/>
    <w:rsid w:val="295859AC"/>
    <w:rsid w:val="299B1A83"/>
    <w:rsid w:val="29CF57EC"/>
    <w:rsid w:val="29D56B27"/>
    <w:rsid w:val="2A735CA0"/>
    <w:rsid w:val="2B6A5E33"/>
    <w:rsid w:val="2BD77E20"/>
    <w:rsid w:val="2CBC755C"/>
    <w:rsid w:val="2D246AF5"/>
    <w:rsid w:val="2D4B3229"/>
    <w:rsid w:val="2D8B16CD"/>
    <w:rsid w:val="2E76567E"/>
    <w:rsid w:val="2F5C7A09"/>
    <w:rsid w:val="2FAD4861"/>
    <w:rsid w:val="2FB02103"/>
    <w:rsid w:val="2FC47FA3"/>
    <w:rsid w:val="30552CED"/>
    <w:rsid w:val="30994F02"/>
    <w:rsid w:val="30AD2F9C"/>
    <w:rsid w:val="30B8300C"/>
    <w:rsid w:val="310F1BAB"/>
    <w:rsid w:val="31EC7CE4"/>
    <w:rsid w:val="32013614"/>
    <w:rsid w:val="326276D3"/>
    <w:rsid w:val="33606CDD"/>
    <w:rsid w:val="336B6A5B"/>
    <w:rsid w:val="34276F46"/>
    <w:rsid w:val="346D428B"/>
    <w:rsid w:val="34FF5F1C"/>
    <w:rsid w:val="352A48EB"/>
    <w:rsid w:val="35DA5055"/>
    <w:rsid w:val="3602681E"/>
    <w:rsid w:val="36166661"/>
    <w:rsid w:val="361B7EF5"/>
    <w:rsid w:val="364F4AEE"/>
    <w:rsid w:val="36B531F5"/>
    <w:rsid w:val="36FA25D0"/>
    <w:rsid w:val="37A84651"/>
    <w:rsid w:val="37CE3515"/>
    <w:rsid w:val="3842246E"/>
    <w:rsid w:val="38A9761E"/>
    <w:rsid w:val="38F778C4"/>
    <w:rsid w:val="3943078C"/>
    <w:rsid w:val="3986014B"/>
    <w:rsid w:val="398E1F7B"/>
    <w:rsid w:val="39AA43BA"/>
    <w:rsid w:val="39D550AC"/>
    <w:rsid w:val="3A73480F"/>
    <w:rsid w:val="3AE04D84"/>
    <w:rsid w:val="3AF87E60"/>
    <w:rsid w:val="3B453B80"/>
    <w:rsid w:val="3C1001A0"/>
    <w:rsid w:val="3C9F778E"/>
    <w:rsid w:val="3CA616E1"/>
    <w:rsid w:val="3CE855DF"/>
    <w:rsid w:val="3CEB2791"/>
    <w:rsid w:val="3D5E6C25"/>
    <w:rsid w:val="3D68445C"/>
    <w:rsid w:val="3D85696B"/>
    <w:rsid w:val="3DA52F60"/>
    <w:rsid w:val="3E66347A"/>
    <w:rsid w:val="3EB671F2"/>
    <w:rsid w:val="3EE73B85"/>
    <w:rsid w:val="3EF76B26"/>
    <w:rsid w:val="3F1571E0"/>
    <w:rsid w:val="3F961EE0"/>
    <w:rsid w:val="3FC76074"/>
    <w:rsid w:val="40B6066E"/>
    <w:rsid w:val="40FF0ACE"/>
    <w:rsid w:val="410C0FCA"/>
    <w:rsid w:val="413975F8"/>
    <w:rsid w:val="41D31B3E"/>
    <w:rsid w:val="42380450"/>
    <w:rsid w:val="423C17C0"/>
    <w:rsid w:val="426904AB"/>
    <w:rsid w:val="427F4EAA"/>
    <w:rsid w:val="42951330"/>
    <w:rsid w:val="42E97F7B"/>
    <w:rsid w:val="430927BC"/>
    <w:rsid w:val="434215B2"/>
    <w:rsid w:val="43694138"/>
    <w:rsid w:val="43763F2F"/>
    <w:rsid w:val="43C41629"/>
    <w:rsid w:val="44170522"/>
    <w:rsid w:val="45393F52"/>
    <w:rsid w:val="458F65D9"/>
    <w:rsid w:val="46F21112"/>
    <w:rsid w:val="47500EAE"/>
    <w:rsid w:val="47FE7A46"/>
    <w:rsid w:val="48BA4E39"/>
    <w:rsid w:val="49080772"/>
    <w:rsid w:val="491B66B9"/>
    <w:rsid w:val="494B08BE"/>
    <w:rsid w:val="49724B41"/>
    <w:rsid w:val="4990455D"/>
    <w:rsid w:val="499B56D2"/>
    <w:rsid w:val="4A102589"/>
    <w:rsid w:val="4A925136"/>
    <w:rsid w:val="4AC121FB"/>
    <w:rsid w:val="4ACC6215"/>
    <w:rsid w:val="4AEA7113"/>
    <w:rsid w:val="4C885E29"/>
    <w:rsid w:val="4CA15049"/>
    <w:rsid w:val="4CDA4EC6"/>
    <w:rsid w:val="4D1305FD"/>
    <w:rsid w:val="4F310701"/>
    <w:rsid w:val="4FDC0F64"/>
    <w:rsid w:val="5017433D"/>
    <w:rsid w:val="513177AF"/>
    <w:rsid w:val="5194517D"/>
    <w:rsid w:val="51AB0877"/>
    <w:rsid w:val="52045C59"/>
    <w:rsid w:val="522D51B0"/>
    <w:rsid w:val="53392A87"/>
    <w:rsid w:val="53EB5322"/>
    <w:rsid w:val="543D1B1E"/>
    <w:rsid w:val="54827B49"/>
    <w:rsid w:val="54BC4859"/>
    <w:rsid w:val="55734E93"/>
    <w:rsid w:val="558F654D"/>
    <w:rsid w:val="55F14A13"/>
    <w:rsid w:val="562F366E"/>
    <w:rsid w:val="56E158AB"/>
    <w:rsid w:val="571D4801"/>
    <w:rsid w:val="572C636F"/>
    <w:rsid w:val="578647C5"/>
    <w:rsid w:val="578737F1"/>
    <w:rsid w:val="578A0749"/>
    <w:rsid w:val="57B844D2"/>
    <w:rsid w:val="57CA16CD"/>
    <w:rsid w:val="58652064"/>
    <w:rsid w:val="58835408"/>
    <w:rsid w:val="59992AC5"/>
    <w:rsid w:val="5B101B2F"/>
    <w:rsid w:val="5B6339F0"/>
    <w:rsid w:val="5C172619"/>
    <w:rsid w:val="5C2C64D8"/>
    <w:rsid w:val="5CD739AB"/>
    <w:rsid w:val="5D1859F9"/>
    <w:rsid w:val="5D2D69AC"/>
    <w:rsid w:val="5D4F6221"/>
    <w:rsid w:val="5DF738E5"/>
    <w:rsid w:val="5E015742"/>
    <w:rsid w:val="5E061C0B"/>
    <w:rsid w:val="5E337FF2"/>
    <w:rsid w:val="5E745BD2"/>
    <w:rsid w:val="5EAE52A7"/>
    <w:rsid w:val="5EB27BC2"/>
    <w:rsid w:val="5F3A7427"/>
    <w:rsid w:val="5F433930"/>
    <w:rsid w:val="5F576E0E"/>
    <w:rsid w:val="5F6A52F6"/>
    <w:rsid w:val="5F755F6B"/>
    <w:rsid w:val="5F81464C"/>
    <w:rsid w:val="60F76C10"/>
    <w:rsid w:val="61027FAE"/>
    <w:rsid w:val="612E3341"/>
    <w:rsid w:val="61431CF0"/>
    <w:rsid w:val="618B5A6C"/>
    <w:rsid w:val="61EA4E6B"/>
    <w:rsid w:val="62173547"/>
    <w:rsid w:val="62E51579"/>
    <w:rsid w:val="631E32BB"/>
    <w:rsid w:val="639A5312"/>
    <w:rsid w:val="63C71C45"/>
    <w:rsid w:val="646F15FD"/>
    <w:rsid w:val="648114A1"/>
    <w:rsid w:val="64F362B7"/>
    <w:rsid w:val="650A57EC"/>
    <w:rsid w:val="650E1A86"/>
    <w:rsid w:val="65501489"/>
    <w:rsid w:val="665A44F4"/>
    <w:rsid w:val="665C3EF9"/>
    <w:rsid w:val="66BB015D"/>
    <w:rsid w:val="66C537B1"/>
    <w:rsid w:val="67652A2A"/>
    <w:rsid w:val="677124AF"/>
    <w:rsid w:val="67D40F43"/>
    <w:rsid w:val="67DE140B"/>
    <w:rsid w:val="67E0787C"/>
    <w:rsid w:val="67FF2761"/>
    <w:rsid w:val="68CF3445"/>
    <w:rsid w:val="69464C02"/>
    <w:rsid w:val="69906DFA"/>
    <w:rsid w:val="69B61C2F"/>
    <w:rsid w:val="6A16274F"/>
    <w:rsid w:val="6A6E2545"/>
    <w:rsid w:val="6A8B347F"/>
    <w:rsid w:val="6ADA0A99"/>
    <w:rsid w:val="6AEF52A0"/>
    <w:rsid w:val="6B210CF3"/>
    <w:rsid w:val="6BEB2BB2"/>
    <w:rsid w:val="6BEC0D57"/>
    <w:rsid w:val="6C632DC3"/>
    <w:rsid w:val="6C782463"/>
    <w:rsid w:val="6CF676D1"/>
    <w:rsid w:val="6D111CB5"/>
    <w:rsid w:val="6D2A5526"/>
    <w:rsid w:val="6D562C9B"/>
    <w:rsid w:val="6DE33AD6"/>
    <w:rsid w:val="6EC807FA"/>
    <w:rsid w:val="6F9B7475"/>
    <w:rsid w:val="6FA731D7"/>
    <w:rsid w:val="6FAD3B26"/>
    <w:rsid w:val="6FCC3C6E"/>
    <w:rsid w:val="705C54C7"/>
    <w:rsid w:val="707472BB"/>
    <w:rsid w:val="70C530B4"/>
    <w:rsid w:val="71260AA9"/>
    <w:rsid w:val="719C4B5C"/>
    <w:rsid w:val="7272000D"/>
    <w:rsid w:val="7290545B"/>
    <w:rsid w:val="72BE54D6"/>
    <w:rsid w:val="73037C92"/>
    <w:rsid w:val="732F3B9B"/>
    <w:rsid w:val="73657305"/>
    <w:rsid w:val="737F6C8A"/>
    <w:rsid w:val="738849C4"/>
    <w:rsid w:val="73907167"/>
    <w:rsid w:val="73E30388"/>
    <w:rsid w:val="73FA517A"/>
    <w:rsid w:val="74056D47"/>
    <w:rsid w:val="74836A59"/>
    <w:rsid w:val="74F24E98"/>
    <w:rsid w:val="751117F7"/>
    <w:rsid w:val="75157FF9"/>
    <w:rsid w:val="75412487"/>
    <w:rsid w:val="758B6CA9"/>
    <w:rsid w:val="76EF6628"/>
    <w:rsid w:val="76F07AD8"/>
    <w:rsid w:val="77925931"/>
    <w:rsid w:val="78174088"/>
    <w:rsid w:val="782B20F0"/>
    <w:rsid w:val="785834AB"/>
    <w:rsid w:val="78AE54BB"/>
    <w:rsid w:val="78B2760B"/>
    <w:rsid w:val="793A2081"/>
    <w:rsid w:val="7A1D2276"/>
    <w:rsid w:val="7A716242"/>
    <w:rsid w:val="7A7A2406"/>
    <w:rsid w:val="7B2C05EC"/>
    <w:rsid w:val="7B6372E8"/>
    <w:rsid w:val="7B9513A5"/>
    <w:rsid w:val="7BBF46A6"/>
    <w:rsid w:val="7CFD0786"/>
    <w:rsid w:val="7D687A27"/>
    <w:rsid w:val="7DE00F7E"/>
    <w:rsid w:val="7DED34C4"/>
    <w:rsid w:val="7E075776"/>
    <w:rsid w:val="7E7447DC"/>
    <w:rsid w:val="7F130369"/>
    <w:rsid w:val="7F865027"/>
    <w:rsid w:val="7FDD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rPr>
      <w:kern w:val="0"/>
      <w:sz w:val="20"/>
      <w:szCs w:val="20"/>
    </w:rPr>
  </w:style>
  <w:style w:type="paragraph" w:customStyle="1" w:styleId="3">
    <w:name w:val="BodyText"/>
    <w:basedOn w:val="1"/>
    <w:qFormat/>
    <w:uiPriority w:val="0"/>
    <w:pPr>
      <w:spacing w:after="120"/>
      <w:jc w:val="both"/>
      <w:textAlignment w:val="baseline"/>
    </w:pPr>
  </w:style>
  <w:style w:type="paragraph" w:styleId="7">
    <w:name w:val="index 6"/>
    <w:basedOn w:val="1"/>
    <w:next w:val="1"/>
    <w:qFormat/>
    <w:uiPriority w:val="0"/>
    <w:pPr>
      <w:ind w:left="2100"/>
    </w:pPr>
    <w:rPr>
      <w:rFonts w:ascii="Times New Roman" w:hAnsi="Times New Roman" w:eastAsia="宋体" w:cs="Times New Roman"/>
    </w:rPr>
  </w:style>
  <w:style w:type="paragraph" w:styleId="8">
    <w:name w:val="Body Text"/>
    <w:basedOn w:val="1"/>
    <w:qFormat/>
    <w:uiPriority w:val="0"/>
    <w:pPr>
      <w:spacing w:after="120"/>
    </w:pPr>
  </w:style>
  <w:style w:type="paragraph" w:styleId="9">
    <w:name w:val="Body Text Indent"/>
    <w:basedOn w:val="1"/>
    <w:qFormat/>
    <w:uiPriority w:val="99"/>
    <w:pPr>
      <w:spacing w:after="120"/>
      <w:ind w:left="420" w:leftChars="200"/>
    </w:pPr>
  </w:style>
  <w:style w:type="paragraph" w:styleId="10">
    <w:name w:val="Body Text Indent 2"/>
    <w:basedOn w:val="1"/>
    <w:next w:val="7"/>
    <w:unhideWhenUsed/>
    <w:qFormat/>
    <w:uiPriority w:val="99"/>
    <w:pPr>
      <w:spacing w:line="480" w:lineRule="auto"/>
      <w:ind w:left="420" w:leftChars="200"/>
    </w:pPr>
    <w:rPr>
      <w:rFonts w:ascii="Times New Roman" w:hAnsi="Times New Roman" w:eastAsia="宋体" w:cs="Times New Roman"/>
    </w:rPr>
  </w:style>
  <w:style w:type="paragraph" w:styleId="11">
    <w:name w:val="Balloon Text"/>
    <w:unhideWhenUsed/>
    <w:qFormat/>
    <w:uiPriority w:val="99"/>
    <w:pPr>
      <w:widowControl w:val="0"/>
      <w:jc w:val="both"/>
    </w:pPr>
    <w:rPr>
      <w:rFonts w:asciiTheme="minorHAnsi" w:hAnsiTheme="minorHAnsi" w:eastAsiaTheme="minorEastAsia" w:cstheme="minorBidi"/>
      <w:kern w:val="2"/>
      <w:sz w:val="18"/>
      <w:szCs w:val="18"/>
      <w:lang w:val="en-US" w:eastAsia="zh-CN" w:bidi="ar-SA"/>
    </w:rPr>
  </w:style>
  <w:style w:type="paragraph" w:styleId="12">
    <w:name w:val="footer"/>
    <w:basedOn w:val="1"/>
    <w:qFormat/>
    <w:uiPriority w:val="0"/>
    <w:pPr>
      <w:tabs>
        <w:tab w:val="center" w:pos="4153"/>
        <w:tab w:val="right" w:pos="8306"/>
      </w:tabs>
      <w:snapToGrid w:val="0"/>
      <w:jc w:val="left"/>
      <w:textAlignment w:val="baseline"/>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qFormat/>
    <w:uiPriority w:val="0"/>
    <w:pPr>
      <w:ind w:firstLine="420" w:firstLineChars="100"/>
    </w:pPr>
    <w:rPr>
      <w:rFonts w:ascii="Calibri" w:hAnsi="Calibri" w:eastAsia="宋体"/>
      <w:kern w:val="0"/>
      <w:sz w:val="20"/>
      <w:szCs w:val="20"/>
    </w:rPr>
  </w:style>
  <w:style w:type="paragraph" w:styleId="16">
    <w:name w:val="Body Text First Indent 2"/>
    <w:basedOn w:val="9"/>
    <w:qFormat/>
    <w:uiPriority w:val="99"/>
    <w:pPr>
      <w:spacing w:before="100" w:beforeAutospacing="1" w:after="0"/>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333333"/>
    </w:rPr>
  </w:style>
  <w:style w:type="character" w:customStyle="1" w:styleId="23">
    <w:name w:val="NormalCharacter"/>
    <w:qFormat/>
    <w:uiPriority w:val="0"/>
  </w:style>
  <w:style w:type="paragraph" w:customStyle="1" w:styleId="24">
    <w:name w:val="BodyTextIndent"/>
    <w:basedOn w:val="1"/>
    <w:qFormat/>
    <w:uiPriority w:val="0"/>
    <w:pPr>
      <w:ind w:firstLine="540" w:firstLineChars="180"/>
      <w:textAlignment w:val="baseline"/>
    </w:pPr>
    <w:rPr>
      <w:rFonts w:ascii="仿宋_GB2312" w:hAnsi="Times New Roman" w:eastAsia="仿宋_GB2312"/>
      <w:sz w:val="30"/>
      <w:szCs w:val="22"/>
    </w:rPr>
  </w:style>
  <w:style w:type="paragraph" w:customStyle="1" w:styleId="25">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rPr>
  </w:style>
  <w:style w:type="paragraph" w:customStyle="1" w:styleId="26">
    <w:name w:val="sec2"/>
    <w:basedOn w:val="1"/>
    <w:qFormat/>
    <w:uiPriority w:val="0"/>
    <w:pPr>
      <w:jc w:val="center"/>
    </w:pPr>
    <w:rPr>
      <w:rFonts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潮州市直及下属单位</Company>
  <Pages>43</Pages>
  <Words>23176</Words>
  <Characters>23358</Characters>
  <Lines>20</Lines>
  <Paragraphs>92</Paragraphs>
  <TotalTime>6</TotalTime>
  <ScaleCrop>false</ScaleCrop>
  <LinksUpToDate>false</LinksUpToDate>
  <CharactersWithSpaces>23686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2021-02-02T13:27:00Z</dcterms:created>
  <dc:creator>Runnar_office</dc:creator>
  <cp:lastModifiedBy>夏</cp:lastModifiedBy>
  <cp:lastPrinted>2021-04-12T08:16:00Z</cp:lastPrinted>
  <dcterms:modified xsi:type="dcterms:W3CDTF">2023-04-11T01:31:14Z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0A5BCA7F9DBA424DB49E4EA46A24174B</vt:lpwstr>
  </property>
  <property fmtid="{D5CDD505-2E9C-101B-9397-08002B2CF9AE}" pid="4" name="commondata">
    <vt:lpwstr>eyJoZGlkIjoiMDc3ZmRkODNmMjY3NzFmZTJkMTFlOWVjZTczOGQ0ODMifQ==</vt:lpwstr>
  </property>
</Properties>
</file>